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5F86" w14:textId="482D9BBA" w:rsidR="00A40E85" w:rsidRPr="00E62633" w:rsidRDefault="00A40E85" w:rsidP="00711B73">
      <w:pPr>
        <w:jc w:val="center"/>
        <w:rPr>
          <w:i/>
          <w:iCs/>
        </w:rPr>
      </w:pPr>
      <w:bookmarkStart w:id="0" w:name="_Hlk116658849"/>
    </w:p>
    <w:p w14:paraId="70244777" w14:textId="1AE7DA0F" w:rsidR="00711B73" w:rsidRPr="00E62633" w:rsidRDefault="00066072" w:rsidP="00711B73">
      <w:pPr>
        <w:jc w:val="center"/>
      </w:pPr>
      <w:r w:rsidRPr="00E62633">
        <w:rPr>
          <w:i/>
          <w:iCs/>
        </w:rPr>
        <w:t>Final press release</w:t>
      </w:r>
    </w:p>
    <w:p w14:paraId="567AC2CC" w14:textId="3EEA35DD" w:rsidR="00115A50" w:rsidRPr="00E62633" w:rsidRDefault="00711B73" w:rsidP="00115A50">
      <w:pPr>
        <w:jc w:val="center"/>
      </w:pPr>
      <w:r w:rsidRPr="00E62633">
        <w:t> </w:t>
      </w:r>
      <w:bookmarkEnd w:id="0"/>
      <w:r w:rsidR="00115A50" w:rsidRPr="00E62633">
        <w:rPr>
          <w:rFonts w:eastAsia="Times New Roman"/>
          <w:color w:val="000000"/>
          <w:lang w:eastAsia="it-IT"/>
        </w:rPr>
        <w:t> </w:t>
      </w:r>
    </w:p>
    <w:p w14:paraId="3E8FFAC7" w14:textId="07895AE4" w:rsidR="00115A50" w:rsidRPr="00E62633" w:rsidRDefault="00115A50" w:rsidP="00115A50">
      <w:pPr>
        <w:shd w:val="clear" w:color="auto" w:fill="FFFFFF"/>
        <w:jc w:val="center"/>
        <w:rPr>
          <w:rFonts w:eastAsia="Times New Roman"/>
          <w:color w:val="000000"/>
          <w:lang w:eastAsia="it-IT"/>
        </w:rPr>
      </w:pPr>
      <w:r w:rsidRPr="00E62633">
        <w:rPr>
          <w:rFonts w:eastAsia="Times New Roman"/>
          <w:b/>
          <w:bCs/>
          <w:color w:val="000000"/>
          <w:sz w:val="28"/>
          <w:szCs w:val="28"/>
          <w:lang w:eastAsia="it-IT"/>
        </w:rPr>
        <w:t xml:space="preserve">TTG TRAVEL EXPERIENCE </w:t>
      </w:r>
      <w:r w:rsidR="00066072" w:rsidRPr="00E62633">
        <w:rPr>
          <w:rFonts w:eastAsia="Times New Roman"/>
          <w:b/>
          <w:bCs/>
          <w:color w:val="000000"/>
          <w:sz w:val="28"/>
          <w:szCs w:val="28"/>
          <w:lang w:eastAsia="it-IT"/>
        </w:rPr>
        <w:t>AND</w:t>
      </w:r>
      <w:r w:rsidRPr="00E62633">
        <w:rPr>
          <w:rFonts w:eastAsia="Times New Roman"/>
          <w:b/>
          <w:bCs/>
          <w:color w:val="000000"/>
          <w:sz w:val="28"/>
          <w:szCs w:val="28"/>
          <w:lang w:eastAsia="it-IT"/>
        </w:rPr>
        <w:t xml:space="preserve"> INOUT 2025 </w:t>
      </w:r>
      <w:r w:rsidR="00066072" w:rsidRPr="00E62633">
        <w:rPr>
          <w:rFonts w:eastAsia="Times New Roman"/>
          <w:b/>
          <w:bCs/>
          <w:color w:val="000000"/>
          <w:sz w:val="28"/>
          <w:szCs w:val="28"/>
          <w:lang w:eastAsia="it-IT"/>
        </w:rPr>
        <w:t>SET A HIGHER BAR</w:t>
      </w:r>
      <w:r w:rsidRPr="00E62633">
        <w:rPr>
          <w:rFonts w:eastAsia="Times New Roman"/>
          <w:b/>
          <w:bCs/>
          <w:color w:val="000000"/>
          <w:sz w:val="28"/>
          <w:szCs w:val="28"/>
          <w:lang w:eastAsia="it-IT"/>
        </w:rPr>
        <w:t>:</w:t>
      </w:r>
    </w:p>
    <w:p w14:paraId="349488FF" w14:textId="1D8B729A" w:rsidR="00115A50" w:rsidRPr="00E62633" w:rsidRDefault="00066072" w:rsidP="00115A50">
      <w:pPr>
        <w:shd w:val="clear" w:color="auto" w:fill="FFFFFF"/>
        <w:jc w:val="center"/>
        <w:rPr>
          <w:rFonts w:eastAsia="Times New Roman"/>
          <w:color w:val="000000"/>
          <w:lang w:eastAsia="it-IT"/>
        </w:rPr>
      </w:pPr>
      <w:r w:rsidRPr="00E62633">
        <w:rPr>
          <w:rFonts w:eastAsia="Times New Roman"/>
          <w:b/>
          <w:bCs/>
          <w:color w:val="000000"/>
          <w:sz w:val="28"/>
          <w:szCs w:val="28"/>
          <w:lang w:eastAsia="it-IT"/>
        </w:rPr>
        <w:t>ATTENDANCE UP</w:t>
      </w:r>
      <w:r w:rsidR="00115A50" w:rsidRPr="00E62633">
        <w:rPr>
          <w:rFonts w:eastAsia="Times New Roman"/>
          <w:b/>
          <w:bCs/>
          <w:color w:val="000000"/>
          <w:sz w:val="28"/>
          <w:szCs w:val="28"/>
          <w:lang w:eastAsia="it-IT"/>
        </w:rPr>
        <w:t xml:space="preserve"> 3%</w:t>
      </w:r>
    </w:p>
    <w:p w14:paraId="41587D45" w14:textId="77777777" w:rsidR="00115A50" w:rsidRPr="00E62633" w:rsidRDefault="00115A50" w:rsidP="00115A50">
      <w:pPr>
        <w:shd w:val="clear" w:color="auto" w:fill="FFFFFF"/>
        <w:jc w:val="center"/>
        <w:rPr>
          <w:rFonts w:eastAsia="Times New Roman"/>
          <w:color w:val="000000"/>
          <w:lang w:eastAsia="it-IT"/>
        </w:rPr>
      </w:pPr>
      <w:r w:rsidRPr="00E62633">
        <w:rPr>
          <w:rFonts w:eastAsia="Times New Roman"/>
          <w:b/>
          <w:bCs/>
          <w:color w:val="000000"/>
          <w:sz w:val="28"/>
          <w:szCs w:val="28"/>
          <w:lang w:eastAsia="it-IT"/>
        </w:rPr>
        <w:t> </w:t>
      </w:r>
    </w:p>
    <w:p w14:paraId="7ACAA9B6" w14:textId="7874CBC2" w:rsidR="00115A50" w:rsidRPr="00E62633" w:rsidRDefault="00066072" w:rsidP="008C250B">
      <w:pPr>
        <w:numPr>
          <w:ilvl w:val="0"/>
          <w:numId w:val="7"/>
        </w:numPr>
        <w:shd w:val="clear" w:color="auto" w:fill="FFFFFF"/>
        <w:jc w:val="both"/>
        <w:rPr>
          <w:rFonts w:eastAsia="Times New Roman"/>
          <w:color w:val="000000"/>
          <w:lang w:eastAsia="it-IT"/>
        </w:rPr>
      </w:pPr>
      <w:r w:rsidRPr="00E62633">
        <w:rPr>
          <w:rFonts w:eastAsia="Times New Roman"/>
          <w:b/>
          <w:bCs/>
          <w:color w:val="000000"/>
          <w:sz w:val="24"/>
          <w:szCs w:val="24"/>
          <w:lang w:eastAsia="it-IT"/>
        </w:rPr>
        <w:t>The excellent trend of TTG Travel Experience and InOut | The Hospitality Community, curated by Italian Exhibition Group, continues, confirming its status as the largest tourism marketplace.</w:t>
      </w:r>
    </w:p>
    <w:p w14:paraId="4BDDAFAA" w14:textId="26897657" w:rsidR="00115A50" w:rsidRPr="00E62633" w:rsidRDefault="00066072" w:rsidP="008C250B">
      <w:pPr>
        <w:numPr>
          <w:ilvl w:val="0"/>
          <w:numId w:val="7"/>
        </w:numPr>
        <w:shd w:val="clear" w:color="auto" w:fill="FFFFFF"/>
        <w:jc w:val="both"/>
        <w:rPr>
          <w:rFonts w:eastAsia="Times New Roman"/>
          <w:color w:val="000000"/>
          <w:lang w:eastAsia="it-IT"/>
        </w:rPr>
      </w:pPr>
      <w:r w:rsidRPr="00E62633">
        <w:rPr>
          <w:rFonts w:eastAsia="Times New Roman"/>
          <w:b/>
          <w:bCs/>
          <w:color w:val="000000"/>
          <w:sz w:val="24"/>
          <w:szCs w:val="24"/>
          <w:lang w:eastAsia="it-IT"/>
        </w:rPr>
        <w:t>The trade fair featured 2,700 brands, 1,000 buyers from 75 countries, and 19,500 business meetings, with 400 speakers participating in 200 talks and conferences, and 700 accredited journalists.</w:t>
      </w:r>
    </w:p>
    <w:p w14:paraId="12A8F30A" w14:textId="384B9381" w:rsidR="00115A50" w:rsidRPr="00E62633" w:rsidRDefault="00066072" w:rsidP="008C250B">
      <w:pPr>
        <w:numPr>
          <w:ilvl w:val="0"/>
          <w:numId w:val="7"/>
        </w:numPr>
        <w:shd w:val="clear" w:color="auto" w:fill="FFFFFF"/>
        <w:jc w:val="both"/>
        <w:rPr>
          <w:rFonts w:eastAsia="Times New Roman"/>
          <w:color w:val="000000"/>
          <w:lang w:eastAsia="it-IT"/>
        </w:rPr>
      </w:pPr>
      <w:r w:rsidRPr="00E62633">
        <w:rPr>
          <w:rFonts w:eastAsia="Times New Roman"/>
          <w:b/>
          <w:bCs/>
          <w:color w:val="000000"/>
          <w:sz w:val="24"/>
          <w:szCs w:val="24"/>
          <w:lang w:eastAsia="it-IT"/>
        </w:rPr>
        <w:t>Strong institutional presence, with regional tourism departments leading discussions and strategies for the industry's development.</w:t>
      </w:r>
    </w:p>
    <w:p w14:paraId="768077C8" w14:textId="1B6B4586" w:rsidR="00115A50" w:rsidRPr="00E62633" w:rsidRDefault="00066072" w:rsidP="008C250B">
      <w:pPr>
        <w:numPr>
          <w:ilvl w:val="0"/>
          <w:numId w:val="7"/>
        </w:numPr>
        <w:shd w:val="clear" w:color="auto" w:fill="FFFFFF"/>
        <w:jc w:val="both"/>
        <w:rPr>
          <w:rFonts w:eastAsia="Times New Roman"/>
          <w:color w:val="000000"/>
          <w:lang w:eastAsia="it-IT"/>
        </w:rPr>
      </w:pPr>
      <w:r w:rsidRPr="00E62633">
        <w:rPr>
          <w:rFonts w:eastAsia="Times New Roman"/>
          <w:b/>
          <w:bCs/>
          <w:color w:val="000000"/>
          <w:sz w:val="24"/>
          <w:szCs w:val="24"/>
          <w:lang w:eastAsia="it-IT"/>
        </w:rPr>
        <w:t>Spotlight on youth and education, with academic institutions driving discussions on tourism professions.</w:t>
      </w:r>
    </w:p>
    <w:p w14:paraId="398039DB" w14:textId="4ED14D63" w:rsidR="00115A50" w:rsidRPr="00E62633" w:rsidRDefault="00066072" w:rsidP="008C250B">
      <w:pPr>
        <w:numPr>
          <w:ilvl w:val="0"/>
          <w:numId w:val="7"/>
        </w:numPr>
        <w:shd w:val="clear" w:color="auto" w:fill="FFFFFF"/>
        <w:jc w:val="both"/>
        <w:rPr>
          <w:rFonts w:eastAsia="Times New Roman"/>
          <w:color w:val="000000"/>
          <w:lang w:eastAsia="it-IT"/>
        </w:rPr>
      </w:pPr>
      <w:r w:rsidRPr="00E62633">
        <w:rPr>
          <w:rFonts w:eastAsia="Times New Roman"/>
          <w:b/>
          <w:bCs/>
          <w:color w:val="000000"/>
          <w:sz w:val="24"/>
          <w:szCs w:val="24"/>
          <w:lang w:eastAsia="it-IT"/>
        </w:rPr>
        <w:t>Aura, an extension of TTG dedicated to high-end travel, was launched in preview and will debut in Florence in 2026.</w:t>
      </w:r>
    </w:p>
    <w:p w14:paraId="07384654" w14:textId="77777777" w:rsidR="00115A50" w:rsidRPr="00E62633" w:rsidRDefault="00115A50" w:rsidP="00115A50">
      <w:pPr>
        <w:shd w:val="clear" w:color="auto" w:fill="FFFFFF"/>
        <w:jc w:val="center"/>
        <w:rPr>
          <w:rFonts w:eastAsia="Times New Roman"/>
          <w:color w:val="000000"/>
          <w:lang w:eastAsia="it-IT"/>
        </w:rPr>
      </w:pPr>
      <w:r w:rsidRPr="00E62633">
        <w:rPr>
          <w:rFonts w:eastAsia="Times New Roman"/>
          <w:color w:val="000000"/>
          <w:lang w:eastAsia="it-IT"/>
        </w:rPr>
        <w:t>ttgexpo.it | inoutexpo.it</w:t>
      </w:r>
    </w:p>
    <w:p w14:paraId="14EEA7BC" w14:textId="77777777" w:rsidR="00115A50" w:rsidRPr="00E62633" w:rsidRDefault="00115A50" w:rsidP="00115A50">
      <w:pPr>
        <w:shd w:val="clear" w:color="auto" w:fill="FFFFFF"/>
        <w:jc w:val="center"/>
        <w:rPr>
          <w:rFonts w:eastAsia="Times New Roman"/>
          <w:color w:val="000000"/>
          <w:lang w:eastAsia="it-IT"/>
        </w:rPr>
      </w:pPr>
      <w:r w:rsidRPr="00E62633">
        <w:rPr>
          <w:rFonts w:eastAsia="Times New Roman"/>
          <w:color w:val="000000"/>
          <w:lang w:eastAsia="it-IT"/>
        </w:rPr>
        <w:t> </w:t>
      </w:r>
    </w:p>
    <w:p w14:paraId="6ACC5A8C" w14:textId="05601571" w:rsidR="00EC0906" w:rsidRPr="00274136" w:rsidRDefault="00115A50" w:rsidP="00115A50">
      <w:pPr>
        <w:shd w:val="clear" w:color="auto" w:fill="FFFFFF"/>
        <w:jc w:val="both"/>
        <w:rPr>
          <w:rFonts w:eastAsia="Times New Roman"/>
          <w:b/>
          <w:bCs/>
          <w:lang w:eastAsia="it-IT"/>
        </w:rPr>
      </w:pPr>
      <w:r w:rsidRPr="00E62633">
        <w:rPr>
          <w:rFonts w:eastAsia="Times New Roman"/>
          <w:i/>
          <w:iCs/>
          <w:color w:val="000000"/>
          <w:lang w:eastAsia="it-IT"/>
        </w:rPr>
        <w:t>Rimini, </w:t>
      </w:r>
      <w:r w:rsidRPr="00E62633">
        <w:rPr>
          <w:rFonts w:eastAsia="Times New Roman"/>
          <w:i/>
          <w:iCs/>
          <w:lang w:eastAsia="it-IT"/>
        </w:rPr>
        <w:t xml:space="preserve">10 </w:t>
      </w:r>
      <w:r w:rsidR="00066072" w:rsidRPr="00E62633">
        <w:rPr>
          <w:rFonts w:eastAsia="Times New Roman"/>
          <w:i/>
          <w:iCs/>
          <w:lang w:eastAsia="it-IT"/>
        </w:rPr>
        <w:t>October</w:t>
      </w:r>
      <w:r w:rsidRPr="00E62633">
        <w:rPr>
          <w:rFonts w:eastAsia="Times New Roman"/>
          <w:i/>
          <w:iCs/>
          <w:lang w:eastAsia="it-IT"/>
        </w:rPr>
        <w:t xml:space="preserve"> 2025</w:t>
      </w:r>
      <w:r w:rsidRPr="00E62633">
        <w:rPr>
          <w:rFonts w:eastAsia="Times New Roman"/>
          <w:lang w:eastAsia="it-IT"/>
        </w:rPr>
        <w:t> –</w:t>
      </w:r>
      <w:r w:rsidRPr="00E62633">
        <w:rPr>
          <w:rFonts w:ascii="Segoe UI" w:eastAsia="Times New Roman" w:hAnsi="Segoe UI" w:cs="Segoe UI"/>
          <w:sz w:val="21"/>
          <w:szCs w:val="21"/>
          <w:lang w:eastAsia="it-IT"/>
        </w:rPr>
        <w:t> </w:t>
      </w:r>
      <w:r w:rsidR="00066072" w:rsidRPr="00E62633">
        <w:rPr>
          <w:rFonts w:eastAsia="Times New Roman"/>
          <w:b/>
          <w:bCs/>
          <w:lang w:eastAsia="it-IT"/>
        </w:rPr>
        <w:t>Attendance once again on the rise (+3% compared to 2024)</w:t>
      </w:r>
      <w:r w:rsidR="00066072" w:rsidRPr="00E62633">
        <w:rPr>
          <w:rFonts w:eastAsia="Times New Roman"/>
          <w:lang w:eastAsia="it-IT"/>
        </w:rPr>
        <w:t xml:space="preserve"> for the </w:t>
      </w:r>
      <w:r w:rsidR="00066072" w:rsidRPr="00E62633">
        <w:rPr>
          <w:rFonts w:eastAsia="Times New Roman"/>
          <w:b/>
          <w:bCs/>
          <w:lang w:eastAsia="it-IT"/>
        </w:rPr>
        <w:t>62</w:t>
      </w:r>
      <w:r w:rsidR="00066072" w:rsidRPr="00E62633">
        <w:rPr>
          <w:rFonts w:eastAsia="Times New Roman"/>
          <w:b/>
          <w:bCs/>
          <w:vertAlign w:val="superscript"/>
          <w:lang w:eastAsia="it-IT"/>
        </w:rPr>
        <w:t>nd</w:t>
      </w:r>
      <w:r w:rsidR="00066072" w:rsidRPr="00E62633">
        <w:rPr>
          <w:rFonts w:eastAsia="Times New Roman"/>
          <w:b/>
          <w:bCs/>
          <w:lang w:eastAsia="it-IT"/>
        </w:rPr>
        <w:t xml:space="preserve"> edition of</w:t>
      </w:r>
      <w:r w:rsidR="00066072" w:rsidRPr="00E62633">
        <w:rPr>
          <w:rFonts w:eastAsia="Times New Roman"/>
          <w:lang w:eastAsia="it-IT"/>
        </w:rPr>
        <w:t xml:space="preserve"> </w:t>
      </w:r>
      <w:r w:rsidR="00066072" w:rsidRPr="00E62633">
        <w:rPr>
          <w:rFonts w:eastAsia="Times New Roman"/>
          <w:b/>
          <w:bCs/>
          <w:lang w:eastAsia="it-IT"/>
        </w:rPr>
        <w:t>TTG Travel Experience</w:t>
      </w:r>
      <w:r w:rsidR="00066072" w:rsidRPr="00E62633">
        <w:rPr>
          <w:rFonts w:eastAsia="Times New Roman"/>
          <w:lang w:eastAsia="it-IT"/>
        </w:rPr>
        <w:t xml:space="preserve">, running parallel with </w:t>
      </w:r>
      <w:r w:rsidR="00066072" w:rsidRPr="00E62633">
        <w:rPr>
          <w:rFonts w:eastAsia="Times New Roman"/>
          <w:b/>
          <w:bCs/>
          <w:lang w:eastAsia="it-IT"/>
        </w:rPr>
        <w:t>InOut | The Hospitality Community</w:t>
      </w:r>
      <w:r w:rsidR="00066072" w:rsidRPr="00E62633">
        <w:rPr>
          <w:rFonts w:eastAsia="Times New Roman"/>
          <w:lang w:eastAsia="it-IT"/>
        </w:rPr>
        <w:t xml:space="preserve">, curated by </w:t>
      </w:r>
      <w:r w:rsidR="00066072" w:rsidRPr="00E62633">
        <w:rPr>
          <w:rFonts w:eastAsia="Times New Roman"/>
          <w:b/>
          <w:bCs/>
          <w:lang w:eastAsia="it-IT"/>
        </w:rPr>
        <w:t>Italian Exhibition Group (IEG)</w:t>
      </w:r>
      <w:r w:rsidR="00066072" w:rsidRPr="00E62633">
        <w:rPr>
          <w:rFonts w:eastAsia="Times New Roman"/>
          <w:lang w:eastAsia="it-IT"/>
        </w:rPr>
        <w:t xml:space="preserve"> and concluding today at </w:t>
      </w:r>
      <w:r w:rsidR="00066072" w:rsidRPr="00E62633">
        <w:rPr>
          <w:rFonts w:eastAsia="Times New Roman"/>
          <w:b/>
          <w:bCs/>
          <w:lang w:eastAsia="it-IT"/>
        </w:rPr>
        <w:t>Rimini Expo Centre</w:t>
      </w:r>
      <w:r w:rsidR="00066072" w:rsidRPr="00E62633">
        <w:rPr>
          <w:rFonts w:eastAsia="Times New Roman"/>
          <w:lang w:eastAsia="it-IT"/>
        </w:rPr>
        <w:t xml:space="preserve">. This growth follows a </w:t>
      </w:r>
      <w:r w:rsidR="00066072" w:rsidRPr="00E62633">
        <w:rPr>
          <w:rFonts w:eastAsia="Times New Roman"/>
          <w:b/>
          <w:bCs/>
          <w:lang w:eastAsia="it-IT"/>
        </w:rPr>
        <w:t>significant and steady trend over the past three years</w:t>
      </w:r>
      <w:r w:rsidR="00066072" w:rsidRPr="00E62633">
        <w:rPr>
          <w:rFonts w:eastAsia="Times New Roman"/>
          <w:lang w:eastAsia="it-IT"/>
        </w:rPr>
        <w:t xml:space="preserve">, marked by an increase in </w:t>
      </w:r>
      <w:r w:rsidR="00066072" w:rsidRPr="00E62633">
        <w:rPr>
          <w:rFonts w:eastAsia="Times New Roman"/>
          <w:b/>
          <w:bCs/>
          <w:lang w:eastAsia="it-IT"/>
        </w:rPr>
        <w:t>overall attendance, visitor quality, and exhibitor satisfaction</w:t>
      </w:r>
      <w:r w:rsidR="00066072" w:rsidRPr="00E62633">
        <w:rPr>
          <w:rFonts w:eastAsia="Times New Roman"/>
          <w:lang w:eastAsia="it-IT"/>
        </w:rPr>
        <w:t xml:space="preserve">. This result underscores an industry in full swing and confirms the event's strategic role as an </w:t>
      </w:r>
      <w:r w:rsidR="00066072" w:rsidRPr="00E62633">
        <w:rPr>
          <w:rFonts w:eastAsia="Times New Roman"/>
          <w:b/>
          <w:bCs/>
          <w:lang w:eastAsia="it-IT"/>
        </w:rPr>
        <w:t>international hub for tourism and hospitality</w:t>
      </w:r>
      <w:r w:rsidR="00066072" w:rsidRPr="00E62633">
        <w:rPr>
          <w:rFonts w:eastAsia="Times New Roman"/>
          <w:lang w:eastAsia="it-IT"/>
        </w:rPr>
        <w:t>.</w:t>
      </w:r>
    </w:p>
    <w:p w14:paraId="1B9307D2" w14:textId="77777777" w:rsidR="00EC0906" w:rsidRPr="00E62633" w:rsidRDefault="00066072" w:rsidP="00115A50">
      <w:pPr>
        <w:shd w:val="clear" w:color="auto" w:fill="FFFFFF"/>
        <w:jc w:val="both"/>
        <w:rPr>
          <w:rFonts w:eastAsia="Times New Roman"/>
          <w:lang w:eastAsia="it-IT"/>
        </w:rPr>
      </w:pPr>
      <w:r w:rsidRPr="00E62633">
        <w:rPr>
          <w:rFonts w:eastAsia="Times New Roman"/>
          <w:lang w:eastAsia="it-IT"/>
        </w:rPr>
        <w:br/>
        <w:t xml:space="preserve">For three days, Rimini </w:t>
      </w:r>
      <w:r w:rsidR="00EC0906" w:rsidRPr="00E62633">
        <w:rPr>
          <w:rFonts w:eastAsia="Times New Roman"/>
          <w:lang w:eastAsia="it-IT"/>
        </w:rPr>
        <w:t>became</w:t>
      </w:r>
      <w:r w:rsidRPr="00E62633">
        <w:rPr>
          <w:rFonts w:eastAsia="Times New Roman"/>
          <w:lang w:eastAsia="it-IT"/>
        </w:rPr>
        <w:t xml:space="preserve"> the capital of the tourism business, featuring </w:t>
      </w:r>
      <w:r w:rsidRPr="00E62633">
        <w:rPr>
          <w:rFonts w:eastAsia="Times New Roman"/>
          <w:b/>
          <w:bCs/>
          <w:lang w:eastAsia="it-IT"/>
        </w:rPr>
        <w:t>2,700 exhibiting brands, 1,000 buyers from 75 countries, 60 startups, 400 speakers</w:t>
      </w:r>
      <w:r w:rsidRPr="00E62633">
        <w:rPr>
          <w:rFonts w:eastAsia="Times New Roman"/>
          <w:lang w:eastAsia="it-IT"/>
        </w:rPr>
        <w:t xml:space="preserve"> from institutions, companies, and academia, and </w:t>
      </w:r>
      <w:r w:rsidRPr="00E62633">
        <w:rPr>
          <w:rFonts w:eastAsia="Times New Roman"/>
          <w:b/>
          <w:bCs/>
          <w:lang w:eastAsia="it-IT"/>
        </w:rPr>
        <w:t>700 accredited journalists</w:t>
      </w:r>
      <w:r w:rsidRPr="00E62633">
        <w:rPr>
          <w:rFonts w:eastAsia="Times New Roman"/>
          <w:lang w:eastAsia="it-IT"/>
        </w:rPr>
        <w:t>.</w:t>
      </w:r>
    </w:p>
    <w:p w14:paraId="45EBC708" w14:textId="4259057E" w:rsidR="00115A50" w:rsidRPr="00E62633" w:rsidRDefault="00066072" w:rsidP="00115A50">
      <w:pPr>
        <w:shd w:val="clear" w:color="auto" w:fill="FFFFFF"/>
        <w:jc w:val="both"/>
        <w:rPr>
          <w:rFonts w:eastAsia="Times New Roman"/>
          <w:lang w:eastAsia="it-IT"/>
        </w:rPr>
      </w:pPr>
      <w:r w:rsidRPr="00E62633">
        <w:rPr>
          <w:rFonts w:eastAsia="Times New Roman"/>
          <w:lang w:eastAsia="it-IT"/>
        </w:rPr>
        <w:t xml:space="preserve">A </w:t>
      </w:r>
      <w:r w:rsidR="00EC0906" w:rsidRPr="00E62633">
        <w:rPr>
          <w:rFonts w:eastAsia="Times New Roman"/>
          <w:lang w:eastAsia="it-IT"/>
        </w:rPr>
        <w:t>dynamic</w:t>
      </w:r>
      <w:r w:rsidRPr="00E62633">
        <w:rPr>
          <w:rFonts w:eastAsia="Times New Roman"/>
          <w:lang w:eastAsia="it-IT"/>
        </w:rPr>
        <w:t xml:space="preserve">, engaging, and increasingly global edition, which has also seen a significant increase in business opportunities: </w:t>
      </w:r>
      <w:r w:rsidRPr="00E62633">
        <w:rPr>
          <w:rFonts w:eastAsia="Times New Roman"/>
          <w:b/>
          <w:bCs/>
          <w:lang w:eastAsia="it-IT"/>
        </w:rPr>
        <w:t>over 19,500 meetings</w:t>
      </w:r>
      <w:r w:rsidRPr="00E62633">
        <w:rPr>
          <w:rFonts w:eastAsia="Times New Roman"/>
          <w:lang w:eastAsia="it-IT"/>
        </w:rPr>
        <w:t xml:space="preserve"> held on the matching platform, demonstrating the strength of a constantly evolving marketplace.</w:t>
      </w:r>
    </w:p>
    <w:p w14:paraId="175317B4" w14:textId="77777777" w:rsidR="00066072" w:rsidRPr="00E62633" w:rsidRDefault="00066072" w:rsidP="00115A50">
      <w:pPr>
        <w:shd w:val="clear" w:color="auto" w:fill="FFFFFF"/>
        <w:jc w:val="both"/>
        <w:rPr>
          <w:rFonts w:ascii="Segoe UI" w:eastAsia="Times New Roman" w:hAnsi="Segoe UI" w:cs="Segoe UI"/>
          <w:sz w:val="21"/>
          <w:szCs w:val="21"/>
          <w:lang w:eastAsia="it-IT"/>
        </w:rPr>
      </w:pPr>
    </w:p>
    <w:p w14:paraId="013F4791" w14:textId="77777777" w:rsidR="00115A50" w:rsidRPr="00E62633" w:rsidRDefault="00115A50" w:rsidP="00115A50">
      <w:pPr>
        <w:shd w:val="clear" w:color="auto" w:fill="FFFFFF"/>
        <w:jc w:val="both"/>
        <w:rPr>
          <w:rFonts w:ascii="Segoe UI" w:eastAsia="Times New Roman" w:hAnsi="Segoe UI" w:cs="Segoe UI"/>
          <w:sz w:val="21"/>
          <w:szCs w:val="21"/>
          <w:lang w:eastAsia="it-IT"/>
        </w:rPr>
      </w:pPr>
      <w:r w:rsidRPr="00E62633">
        <w:rPr>
          <w:rFonts w:eastAsia="Times New Roman"/>
          <w:lang w:eastAsia="it-IT"/>
        </w:rPr>
        <w:t> </w:t>
      </w:r>
    </w:p>
    <w:p w14:paraId="73A927FD" w14:textId="65DA52DB" w:rsidR="00115A50" w:rsidRPr="00E62633" w:rsidRDefault="00115A50" w:rsidP="00115A50">
      <w:pPr>
        <w:shd w:val="clear" w:color="auto" w:fill="FFFFFF"/>
        <w:jc w:val="both"/>
        <w:rPr>
          <w:rFonts w:ascii="Segoe UI" w:eastAsia="Times New Roman" w:hAnsi="Segoe UI" w:cs="Segoe UI"/>
          <w:sz w:val="21"/>
          <w:szCs w:val="21"/>
          <w:lang w:eastAsia="it-IT"/>
        </w:rPr>
      </w:pPr>
      <w:r w:rsidRPr="00E62633">
        <w:rPr>
          <w:rFonts w:eastAsia="Times New Roman"/>
          <w:b/>
          <w:bCs/>
          <w:lang w:eastAsia="it-IT"/>
        </w:rPr>
        <w:t xml:space="preserve">AWAKE TO A NEW ERA: </w:t>
      </w:r>
      <w:r w:rsidR="00EC0906" w:rsidRPr="00E62633">
        <w:rPr>
          <w:rFonts w:eastAsia="Times New Roman"/>
          <w:b/>
          <w:bCs/>
          <w:lang w:eastAsia="it-IT"/>
        </w:rPr>
        <w:t>THE REAWAKENING OF GLOBAL TOURISM</w:t>
      </w:r>
    </w:p>
    <w:p w14:paraId="7FB1C793" w14:textId="77777777" w:rsidR="00EC0906" w:rsidRPr="00E62633" w:rsidRDefault="00EC0906" w:rsidP="00115A50">
      <w:pPr>
        <w:shd w:val="clear" w:color="auto" w:fill="FFFFFF"/>
        <w:jc w:val="both"/>
        <w:rPr>
          <w:rFonts w:eastAsia="Times New Roman"/>
          <w:lang w:eastAsia="it-IT"/>
        </w:rPr>
      </w:pPr>
      <w:r w:rsidRPr="00E62633">
        <w:rPr>
          <w:rFonts w:eastAsia="Times New Roman"/>
          <w:lang w:eastAsia="it-IT"/>
        </w:rPr>
        <w:t>The 2025 theme, "</w:t>
      </w:r>
      <w:r w:rsidRPr="00E62633">
        <w:rPr>
          <w:rFonts w:eastAsia="Times New Roman"/>
          <w:b/>
          <w:bCs/>
          <w:lang w:eastAsia="it-IT"/>
        </w:rPr>
        <w:t>Awake to a New Era</w:t>
      </w:r>
      <w:r w:rsidRPr="00E62633">
        <w:rPr>
          <w:rFonts w:eastAsia="Times New Roman"/>
          <w:lang w:eastAsia="it-IT"/>
        </w:rPr>
        <w:t xml:space="preserve">," guided the event's narrative, inviting reflection on the ongoing changes. Over </w:t>
      </w:r>
      <w:r w:rsidRPr="00E62633">
        <w:rPr>
          <w:rFonts w:eastAsia="Times New Roman"/>
          <w:b/>
          <w:bCs/>
          <w:lang w:eastAsia="it-IT"/>
        </w:rPr>
        <w:t>200 events</w:t>
      </w:r>
      <w:r w:rsidRPr="00E62633">
        <w:rPr>
          <w:rFonts w:eastAsia="Times New Roman"/>
          <w:lang w:eastAsia="it-IT"/>
        </w:rPr>
        <w:t xml:space="preserve"> across </w:t>
      </w:r>
      <w:r w:rsidRPr="00E62633">
        <w:rPr>
          <w:rFonts w:eastAsia="Times New Roman"/>
          <w:b/>
          <w:bCs/>
          <w:lang w:eastAsia="it-IT"/>
        </w:rPr>
        <w:t>7 themed arenas</w:t>
      </w:r>
      <w:r w:rsidRPr="00E62633">
        <w:rPr>
          <w:rFonts w:eastAsia="Times New Roman"/>
          <w:lang w:eastAsia="it-IT"/>
        </w:rPr>
        <w:t xml:space="preserve"> explored the new frontiers of tourism and hospitality, ranging from artificial intelligence to training, and from </w:t>
      </w:r>
      <w:r w:rsidRPr="00E62633">
        <w:rPr>
          <w:rFonts w:eastAsia="Times New Roman"/>
          <w:b/>
          <w:bCs/>
          <w:lang w:eastAsia="it-IT"/>
        </w:rPr>
        <w:t>sustainability to hospitality design</w:t>
      </w:r>
      <w:r w:rsidRPr="00E62633">
        <w:rPr>
          <w:rFonts w:eastAsia="Times New Roman"/>
          <w:lang w:eastAsia="it-IT"/>
        </w:rPr>
        <w:t xml:space="preserve">. The search for "new rules" in tourism permeated every panel, serving as an invitation to develop transversal skills, integrate ethics with technology, and build business models that anticipate the future. TTG has reaffirmed its international appeal with buyers </w:t>
      </w:r>
      <w:r w:rsidRPr="00E62633">
        <w:rPr>
          <w:rFonts w:eastAsia="Times New Roman"/>
          <w:b/>
          <w:bCs/>
          <w:lang w:eastAsia="it-IT"/>
        </w:rPr>
        <w:t>from 75 countries</w:t>
      </w:r>
      <w:r w:rsidRPr="00E62633">
        <w:rPr>
          <w:rFonts w:eastAsia="Times New Roman"/>
          <w:lang w:eastAsia="it-IT"/>
        </w:rPr>
        <w:t>, including the United States, Canada, the United Kingdom, Germany, India, China, and South America.</w:t>
      </w:r>
    </w:p>
    <w:p w14:paraId="4315BEA2" w14:textId="319F32D6" w:rsidR="00EC0906" w:rsidRDefault="00EC0906" w:rsidP="00115A50">
      <w:pPr>
        <w:shd w:val="clear" w:color="auto" w:fill="FFFFFF"/>
        <w:jc w:val="both"/>
        <w:rPr>
          <w:rFonts w:eastAsia="Times New Roman"/>
          <w:lang w:eastAsia="it-IT"/>
        </w:rPr>
      </w:pPr>
      <w:r w:rsidRPr="00E62633">
        <w:rPr>
          <w:rFonts w:eastAsia="Times New Roman"/>
          <w:lang w:eastAsia="it-IT"/>
        </w:rPr>
        <w:t xml:space="preserve">The </w:t>
      </w:r>
      <w:r w:rsidRPr="00E62633">
        <w:rPr>
          <w:rFonts w:eastAsia="Times New Roman"/>
          <w:b/>
          <w:bCs/>
          <w:lang w:eastAsia="it-IT"/>
        </w:rPr>
        <w:t>Italian regions</w:t>
      </w:r>
      <w:r w:rsidRPr="00E62633">
        <w:rPr>
          <w:rFonts w:eastAsia="Times New Roman"/>
          <w:lang w:eastAsia="it-IT"/>
        </w:rPr>
        <w:t xml:space="preserve"> showcased the full range of domestic incoming tourism, from villages to trails, from rural landscapes to food and wine tourism. Meanwhile, </w:t>
      </w:r>
      <w:r w:rsidRPr="00E62633">
        <w:rPr>
          <w:rFonts w:eastAsia="Times New Roman"/>
          <w:b/>
          <w:bCs/>
          <w:lang w:eastAsia="it-IT"/>
        </w:rPr>
        <w:t>foreign destinations</w:t>
      </w:r>
      <w:r w:rsidRPr="00E62633">
        <w:rPr>
          <w:rFonts w:eastAsia="Times New Roman"/>
          <w:lang w:eastAsia="it-IT"/>
        </w:rPr>
        <w:t xml:space="preserve"> presented a global panorama of emerging experiential tourism opportunities.</w:t>
      </w:r>
    </w:p>
    <w:p w14:paraId="2FD3AD58" w14:textId="77777777" w:rsidR="00274136" w:rsidRDefault="00274136" w:rsidP="00115A50">
      <w:pPr>
        <w:shd w:val="clear" w:color="auto" w:fill="FFFFFF"/>
        <w:jc w:val="both"/>
        <w:rPr>
          <w:rFonts w:eastAsia="Times New Roman"/>
          <w:lang w:eastAsia="it-IT"/>
        </w:rPr>
      </w:pPr>
    </w:p>
    <w:p w14:paraId="34763851" w14:textId="77777777" w:rsidR="00274136" w:rsidRPr="00E62633" w:rsidRDefault="00274136" w:rsidP="00115A50">
      <w:pPr>
        <w:shd w:val="clear" w:color="auto" w:fill="FFFFFF"/>
        <w:jc w:val="both"/>
        <w:rPr>
          <w:rFonts w:eastAsia="Times New Roman"/>
          <w:lang w:eastAsia="it-IT"/>
        </w:rPr>
      </w:pPr>
    </w:p>
    <w:p w14:paraId="71500606" w14:textId="77777777" w:rsidR="00EC0906" w:rsidRPr="00E62633" w:rsidRDefault="00EC0906" w:rsidP="00115A50">
      <w:pPr>
        <w:shd w:val="clear" w:color="auto" w:fill="FFFFFF"/>
        <w:jc w:val="both"/>
        <w:rPr>
          <w:rFonts w:eastAsia="Times New Roman"/>
          <w:lang w:eastAsia="it-IT"/>
        </w:rPr>
      </w:pPr>
    </w:p>
    <w:p w14:paraId="57008A25" w14:textId="77777777" w:rsidR="00115A50" w:rsidRPr="00E62633" w:rsidRDefault="00115A50" w:rsidP="00115A50">
      <w:pPr>
        <w:shd w:val="clear" w:color="auto" w:fill="FFFFFF"/>
        <w:rPr>
          <w:rFonts w:ascii="Segoe UI" w:eastAsia="Times New Roman" w:hAnsi="Segoe UI" w:cs="Segoe UI"/>
          <w:sz w:val="21"/>
          <w:szCs w:val="21"/>
          <w:lang w:eastAsia="it-IT"/>
        </w:rPr>
      </w:pPr>
      <w:r w:rsidRPr="00E62633">
        <w:rPr>
          <w:rFonts w:eastAsia="Times New Roman"/>
          <w:b/>
          <w:bCs/>
          <w:sz w:val="21"/>
          <w:szCs w:val="21"/>
          <w:lang w:eastAsia="it-IT"/>
        </w:rPr>
        <w:lastRenderedPageBreak/>
        <w:t> </w:t>
      </w:r>
    </w:p>
    <w:p w14:paraId="6775D3CC" w14:textId="77777777" w:rsidR="00274136" w:rsidRDefault="00274136" w:rsidP="00115A50">
      <w:pPr>
        <w:shd w:val="clear" w:color="auto" w:fill="FFFFFF"/>
        <w:jc w:val="both"/>
        <w:rPr>
          <w:rFonts w:eastAsia="Times New Roman"/>
          <w:b/>
          <w:bCs/>
          <w:lang w:eastAsia="it-IT"/>
        </w:rPr>
      </w:pPr>
    </w:p>
    <w:p w14:paraId="4AC09EE2" w14:textId="4E92AF19" w:rsidR="00115A50" w:rsidRPr="00E62633" w:rsidRDefault="00EC0906" w:rsidP="00115A50">
      <w:pPr>
        <w:shd w:val="clear" w:color="auto" w:fill="FFFFFF"/>
        <w:jc w:val="both"/>
        <w:rPr>
          <w:rFonts w:ascii="Segoe UI" w:eastAsia="Times New Roman" w:hAnsi="Segoe UI" w:cs="Segoe UI"/>
          <w:sz w:val="21"/>
          <w:szCs w:val="21"/>
          <w:lang w:eastAsia="it-IT"/>
        </w:rPr>
      </w:pPr>
      <w:r w:rsidRPr="00E62633">
        <w:rPr>
          <w:rFonts w:eastAsia="Times New Roman"/>
          <w:b/>
          <w:bCs/>
          <w:lang w:eastAsia="it-IT"/>
        </w:rPr>
        <w:t xml:space="preserve">INTRODUCING </w:t>
      </w:r>
      <w:r w:rsidR="00115A50" w:rsidRPr="00E62633">
        <w:rPr>
          <w:rFonts w:eastAsia="Times New Roman"/>
          <w:b/>
          <w:bCs/>
          <w:lang w:eastAsia="it-IT"/>
        </w:rPr>
        <w:t xml:space="preserve">AURA, </w:t>
      </w:r>
      <w:r w:rsidRPr="00E62633">
        <w:rPr>
          <w:rFonts w:eastAsia="Times New Roman"/>
          <w:b/>
          <w:bCs/>
          <w:lang w:eastAsia="it-IT"/>
        </w:rPr>
        <w:t>THE FUTURE OF HIGH-END TRAVEL</w:t>
      </w:r>
    </w:p>
    <w:p w14:paraId="5A9C1E17" w14:textId="6C542DA4" w:rsidR="00115A50" w:rsidRPr="00E62633" w:rsidRDefault="00EC0906" w:rsidP="00115A50">
      <w:pPr>
        <w:shd w:val="clear" w:color="auto" w:fill="FFFFFF"/>
        <w:jc w:val="both"/>
        <w:rPr>
          <w:rFonts w:eastAsia="Times New Roman"/>
          <w:b/>
          <w:bCs/>
          <w:lang w:eastAsia="it-IT"/>
        </w:rPr>
      </w:pPr>
      <w:r w:rsidRPr="00E62633">
        <w:rPr>
          <w:rFonts w:eastAsia="Times New Roman"/>
          <w:lang w:eastAsia="it-IT"/>
        </w:rPr>
        <w:t xml:space="preserve">Luxury tourism is one of the fastest-growing segments today: </w:t>
      </w:r>
      <w:r w:rsidRPr="00E62633">
        <w:rPr>
          <w:rFonts w:eastAsia="Times New Roman"/>
          <w:b/>
          <w:bCs/>
          <w:lang w:eastAsia="it-IT"/>
        </w:rPr>
        <w:t>in Italy alone, it is worth over 9 billion euros</w:t>
      </w:r>
      <w:r w:rsidRPr="00E62633">
        <w:rPr>
          <w:rFonts w:eastAsia="Times New Roman"/>
          <w:lang w:eastAsia="it-IT"/>
        </w:rPr>
        <w:t xml:space="preserve"> in direct spending on 5-star and 5-star luxury hotels, accounting for </w:t>
      </w:r>
      <w:r w:rsidRPr="00E62633">
        <w:rPr>
          <w:rFonts w:eastAsia="Times New Roman"/>
          <w:b/>
          <w:bCs/>
          <w:lang w:eastAsia="it-IT"/>
        </w:rPr>
        <w:t>16.8% of the national hotel revenue</w:t>
      </w:r>
      <w:r w:rsidRPr="00E62633">
        <w:rPr>
          <w:rFonts w:eastAsia="Times New Roman"/>
          <w:lang w:eastAsia="it-IT"/>
        </w:rPr>
        <w:t xml:space="preserve"> (Demoskopika). A sector that extends far beyond art cities, encompassing more authentic and exclusive destinations that attract high-end </w:t>
      </w:r>
      <w:r w:rsidR="00274136" w:rsidRPr="00E62633">
        <w:rPr>
          <w:rFonts w:eastAsia="Times New Roman"/>
          <w:lang w:eastAsia="it-IT"/>
        </w:rPr>
        <w:t>travellers</w:t>
      </w:r>
      <w:r w:rsidRPr="00E62633">
        <w:rPr>
          <w:rFonts w:eastAsia="Times New Roman"/>
          <w:lang w:eastAsia="it-IT"/>
        </w:rPr>
        <w:t xml:space="preserve"> seeking unique experiences. In this context, </w:t>
      </w:r>
      <w:r w:rsidRPr="00E62633">
        <w:rPr>
          <w:rFonts w:eastAsia="Times New Roman"/>
          <w:b/>
          <w:bCs/>
          <w:lang w:eastAsia="it-IT"/>
        </w:rPr>
        <w:t>TTG</w:t>
      </w:r>
      <w:r w:rsidRPr="00E62633">
        <w:rPr>
          <w:rFonts w:eastAsia="Times New Roman"/>
          <w:lang w:eastAsia="it-IT"/>
        </w:rPr>
        <w:t xml:space="preserve"> remains a benchmark for the entire industry with the </w:t>
      </w:r>
      <w:r w:rsidRPr="00E62633">
        <w:rPr>
          <w:rFonts w:eastAsia="Times New Roman"/>
          <w:b/>
          <w:bCs/>
          <w:lang w:eastAsia="it-IT"/>
        </w:rPr>
        <w:t>Luxury Event by TTG</w:t>
      </w:r>
      <w:r w:rsidRPr="00E62633">
        <w:rPr>
          <w:rFonts w:eastAsia="Times New Roman"/>
          <w:lang w:eastAsia="it-IT"/>
        </w:rPr>
        <w:t xml:space="preserve">, which hosted over </w:t>
      </w:r>
      <w:r w:rsidRPr="00E62633">
        <w:rPr>
          <w:rFonts w:eastAsia="Times New Roman"/>
          <w:b/>
          <w:bCs/>
          <w:lang w:eastAsia="it-IT"/>
        </w:rPr>
        <w:t>1,600 business meetings</w:t>
      </w:r>
      <w:r w:rsidRPr="00E62633">
        <w:rPr>
          <w:rFonts w:eastAsia="Times New Roman"/>
          <w:lang w:eastAsia="it-IT"/>
        </w:rPr>
        <w:t xml:space="preserve">, highlighting Italian expertise in high-end hospitality. </w:t>
      </w:r>
      <w:r w:rsidRPr="00E62633">
        <w:rPr>
          <w:rFonts w:eastAsia="Times New Roman"/>
          <w:b/>
          <w:bCs/>
          <w:lang w:eastAsia="it-IT"/>
        </w:rPr>
        <w:t>A major innovation launched at TTG was Aura,</w:t>
      </w:r>
      <w:r w:rsidRPr="00E62633">
        <w:rPr>
          <w:rFonts w:eastAsia="Times New Roman"/>
          <w:lang w:eastAsia="it-IT"/>
        </w:rPr>
        <w:t xml:space="preserve"> the new event that marks the evolution of the TTG ecosystem and solidifies its leadership as a </w:t>
      </w:r>
      <w:r w:rsidRPr="00E62633">
        <w:rPr>
          <w:rFonts w:eastAsia="Times New Roman"/>
          <w:b/>
          <w:bCs/>
          <w:lang w:eastAsia="it-IT"/>
        </w:rPr>
        <w:t>platform for the entire tourism industry</w:t>
      </w:r>
      <w:r w:rsidRPr="00E62633">
        <w:rPr>
          <w:rFonts w:eastAsia="Times New Roman"/>
          <w:lang w:eastAsia="it-IT"/>
        </w:rPr>
        <w:t xml:space="preserve">. The event will debut in </w:t>
      </w:r>
      <w:r w:rsidRPr="00E62633">
        <w:rPr>
          <w:rFonts w:eastAsia="Times New Roman"/>
          <w:b/>
          <w:bCs/>
          <w:lang w:eastAsia="it-IT"/>
        </w:rPr>
        <w:t>Florence from October 27 to 29, 2026</w:t>
      </w:r>
      <w:r w:rsidRPr="00E62633">
        <w:rPr>
          <w:rFonts w:eastAsia="Times New Roman"/>
          <w:lang w:eastAsia="it-IT"/>
        </w:rPr>
        <w:t xml:space="preserve">, as a </w:t>
      </w:r>
      <w:r w:rsidRPr="00E62633">
        <w:rPr>
          <w:rFonts w:eastAsia="Times New Roman"/>
          <w:b/>
          <w:bCs/>
          <w:lang w:eastAsia="it-IT"/>
        </w:rPr>
        <w:t>new international hub dedicated to luxury travel</w:t>
      </w:r>
      <w:r w:rsidR="00E62633" w:rsidRPr="00E62633">
        <w:rPr>
          <w:rFonts w:eastAsia="Times New Roman"/>
          <w:lang w:eastAsia="it-IT"/>
        </w:rPr>
        <w:t>.</w:t>
      </w:r>
    </w:p>
    <w:p w14:paraId="3E8883D9" w14:textId="77777777" w:rsidR="00EC0906" w:rsidRPr="00E62633" w:rsidRDefault="00EC0906" w:rsidP="00115A50">
      <w:pPr>
        <w:shd w:val="clear" w:color="auto" w:fill="FFFFFF"/>
        <w:jc w:val="both"/>
        <w:rPr>
          <w:rFonts w:ascii="Segoe UI" w:eastAsia="Times New Roman" w:hAnsi="Segoe UI" w:cs="Segoe UI"/>
          <w:sz w:val="21"/>
          <w:szCs w:val="21"/>
          <w:lang w:eastAsia="it-IT"/>
        </w:rPr>
      </w:pPr>
    </w:p>
    <w:p w14:paraId="323B37F7" w14:textId="77777777" w:rsidR="00115A50" w:rsidRPr="00E62633" w:rsidRDefault="00115A50" w:rsidP="00115A50">
      <w:pPr>
        <w:shd w:val="clear" w:color="auto" w:fill="FFFFFF"/>
        <w:jc w:val="both"/>
        <w:rPr>
          <w:rFonts w:ascii="Segoe UI" w:eastAsia="Times New Roman" w:hAnsi="Segoe UI" w:cs="Segoe UI"/>
          <w:sz w:val="21"/>
          <w:szCs w:val="21"/>
          <w:lang w:eastAsia="it-IT"/>
        </w:rPr>
      </w:pPr>
      <w:r w:rsidRPr="00E62633">
        <w:rPr>
          <w:rFonts w:ascii="Segoe UI" w:eastAsia="Times New Roman" w:hAnsi="Segoe UI" w:cs="Segoe UI"/>
          <w:b/>
          <w:bCs/>
          <w:sz w:val="21"/>
          <w:szCs w:val="21"/>
          <w:lang w:eastAsia="it-IT"/>
        </w:rPr>
        <w:t> </w:t>
      </w:r>
    </w:p>
    <w:p w14:paraId="24DECFE1" w14:textId="5124D65B" w:rsidR="00115A50" w:rsidRPr="00E62633" w:rsidRDefault="00E62633" w:rsidP="00115A50">
      <w:pPr>
        <w:shd w:val="clear" w:color="auto" w:fill="FFFFFF"/>
        <w:jc w:val="both"/>
        <w:rPr>
          <w:rFonts w:ascii="Segoe UI" w:eastAsia="Times New Roman" w:hAnsi="Segoe UI" w:cs="Segoe UI"/>
          <w:sz w:val="21"/>
          <w:szCs w:val="21"/>
          <w:lang w:eastAsia="it-IT"/>
        </w:rPr>
      </w:pPr>
      <w:r w:rsidRPr="00E62633">
        <w:rPr>
          <w:rFonts w:eastAsia="Times New Roman"/>
          <w:b/>
          <w:bCs/>
          <w:lang w:eastAsia="it-IT"/>
        </w:rPr>
        <w:t>THE MINISTER OF TOURISM, DANIELA SANTANCHÈ: "TOURISM IS AN ECONOMIC AND SOCIAL LEVER"</w:t>
      </w:r>
    </w:p>
    <w:p w14:paraId="12D9B9B7" w14:textId="7CA5B22B" w:rsidR="00115A50" w:rsidRPr="00E62633" w:rsidRDefault="00E62633" w:rsidP="00115A50">
      <w:pPr>
        <w:shd w:val="clear" w:color="auto" w:fill="FFFFFF"/>
        <w:jc w:val="both"/>
        <w:rPr>
          <w:rFonts w:ascii="Segoe UI" w:eastAsia="Times New Roman" w:hAnsi="Segoe UI" w:cs="Segoe UI"/>
          <w:sz w:val="21"/>
          <w:szCs w:val="21"/>
          <w:lang w:eastAsia="it-IT"/>
        </w:rPr>
      </w:pPr>
      <w:r w:rsidRPr="00E62633">
        <w:rPr>
          <w:rFonts w:eastAsia="Times New Roman"/>
          <w:lang w:eastAsia="it-IT"/>
        </w:rPr>
        <w:t xml:space="preserve">«This year's TTG follows the first </w:t>
      </w:r>
      <w:r w:rsidRPr="00E62633">
        <w:rPr>
          <w:rFonts w:eastAsia="Times New Roman"/>
          <w:i/>
          <w:iCs/>
          <w:lang w:eastAsia="it-IT"/>
        </w:rPr>
        <w:t>WTTC Global Summit</w:t>
      </w:r>
      <w:r w:rsidRPr="00E62633">
        <w:rPr>
          <w:rFonts w:eastAsia="Times New Roman"/>
          <w:lang w:eastAsia="it-IT"/>
        </w:rPr>
        <w:t xml:space="preserve"> hosted in Italy, which confirmed tourism as a strategic lever for growth, employment, and innovation," said Tourism Minister </w:t>
      </w:r>
      <w:r w:rsidRPr="00E62633">
        <w:rPr>
          <w:rFonts w:eastAsia="Times New Roman"/>
          <w:b/>
          <w:bCs/>
          <w:lang w:eastAsia="it-IT"/>
        </w:rPr>
        <w:t>Daniela Santanchè</w:t>
      </w:r>
      <w:r w:rsidRPr="00E62633">
        <w:rPr>
          <w:rFonts w:eastAsia="Times New Roman"/>
          <w:lang w:eastAsia="it-IT"/>
        </w:rPr>
        <w:t xml:space="preserve"> at the event's opening. "This industry, which currently accounts for 13% of the national GDP, will continue to grow significantly over the next ten years». This year, the event's importance was underscored by the </w:t>
      </w:r>
      <w:r w:rsidRPr="00E62633">
        <w:rPr>
          <w:rFonts w:eastAsia="Times New Roman"/>
          <w:b/>
          <w:bCs/>
          <w:lang w:eastAsia="it-IT"/>
        </w:rPr>
        <w:t>strong participation of regional tourism departments</w:t>
      </w:r>
      <w:r w:rsidRPr="00E62633">
        <w:rPr>
          <w:rFonts w:eastAsia="Times New Roman"/>
          <w:lang w:eastAsia="it-IT"/>
        </w:rPr>
        <w:t xml:space="preserve">, with presence not only through stands but also via </w:t>
      </w:r>
      <w:r w:rsidRPr="00E62633">
        <w:rPr>
          <w:rFonts w:eastAsia="Times New Roman"/>
          <w:b/>
          <w:bCs/>
          <w:lang w:eastAsia="it-IT"/>
        </w:rPr>
        <w:t>numerous conferences, meetings, and discussions</w:t>
      </w:r>
      <w:r w:rsidRPr="00E62633">
        <w:rPr>
          <w:rFonts w:eastAsia="Times New Roman"/>
          <w:lang w:eastAsia="it-IT"/>
        </w:rPr>
        <w:t xml:space="preserve"> focused on strategies to promote the Italian tourism system.</w:t>
      </w:r>
    </w:p>
    <w:p w14:paraId="45B66631" w14:textId="77777777" w:rsidR="00115A50" w:rsidRPr="00E62633" w:rsidRDefault="00115A50" w:rsidP="00115A50">
      <w:pPr>
        <w:shd w:val="clear" w:color="auto" w:fill="FFFFFF"/>
        <w:jc w:val="both"/>
        <w:rPr>
          <w:rFonts w:ascii="Segoe UI" w:eastAsia="Times New Roman" w:hAnsi="Segoe UI" w:cs="Segoe UI"/>
          <w:sz w:val="21"/>
          <w:szCs w:val="21"/>
          <w:lang w:eastAsia="it-IT"/>
        </w:rPr>
      </w:pPr>
      <w:r w:rsidRPr="00E62633">
        <w:rPr>
          <w:rFonts w:ascii="Segoe UI" w:eastAsia="Times New Roman" w:hAnsi="Segoe UI" w:cs="Segoe UI"/>
          <w:sz w:val="21"/>
          <w:szCs w:val="21"/>
          <w:lang w:eastAsia="it-IT"/>
        </w:rPr>
        <w:t> </w:t>
      </w:r>
    </w:p>
    <w:p w14:paraId="017B2EEF" w14:textId="4D499028" w:rsidR="00115A50" w:rsidRPr="00E62633" w:rsidRDefault="00E62633" w:rsidP="00115A50">
      <w:pPr>
        <w:shd w:val="clear" w:color="auto" w:fill="FFFFFF"/>
        <w:jc w:val="both"/>
        <w:rPr>
          <w:rFonts w:ascii="Segoe UI" w:eastAsia="Times New Roman" w:hAnsi="Segoe UI" w:cs="Segoe UI"/>
          <w:sz w:val="21"/>
          <w:szCs w:val="21"/>
          <w:lang w:eastAsia="it-IT"/>
        </w:rPr>
      </w:pPr>
      <w:r w:rsidRPr="00E62633">
        <w:rPr>
          <w:rFonts w:eastAsia="Times New Roman"/>
          <w:b/>
          <w:bCs/>
          <w:lang w:eastAsia="it-IT"/>
        </w:rPr>
        <w:t xml:space="preserve">SPACE FOR UNIVERSITIES AND ACADEMIES TO TRAIN THE LEADERS OF FUTURE TOURISM </w:t>
      </w:r>
    </w:p>
    <w:p w14:paraId="6DC44516" w14:textId="10190C2E" w:rsidR="00115A50" w:rsidRPr="00E62633" w:rsidRDefault="00E62633" w:rsidP="00115A50">
      <w:pPr>
        <w:shd w:val="clear" w:color="auto" w:fill="FFFFFF"/>
        <w:jc w:val="both"/>
        <w:rPr>
          <w:rFonts w:ascii="Segoe UI" w:eastAsia="Times New Roman" w:hAnsi="Segoe UI" w:cs="Segoe UI"/>
          <w:sz w:val="21"/>
          <w:szCs w:val="21"/>
          <w:lang w:eastAsia="it-IT"/>
        </w:rPr>
      </w:pPr>
      <w:r w:rsidRPr="00E62633">
        <w:rPr>
          <w:rFonts w:eastAsia="Times New Roman"/>
          <w:lang w:eastAsia="it-IT"/>
        </w:rPr>
        <w:t xml:space="preserve">Universities and tourism academies were key players in this year’s edition, engaging in the </w:t>
      </w:r>
      <w:r w:rsidRPr="00E62633">
        <w:rPr>
          <w:rFonts w:eastAsia="Times New Roman"/>
          <w:b/>
          <w:bCs/>
          <w:lang w:eastAsia="it-IT"/>
        </w:rPr>
        <w:t>Next Start-up Arena</w:t>
      </w:r>
      <w:r w:rsidRPr="00E62633">
        <w:rPr>
          <w:rFonts w:eastAsia="Times New Roman"/>
          <w:lang w:eastAsia="it-IT"/>
        </w:rPr>
        <w:t xml:space="preserve"> to explore youth involvement and </w:t>
      </w:r>
      <w:r w:rsidRPr="00E62633">
        <w:rPr>
          <w:rFonts w:eastAsia="Times New Roman"/>
          <w:b/>
          <w:bCs/>
          <w:lang w:eastAsia="it-IT"/>
        </w:rPr>
        <w:t>career opportunities in tourism</w:t>
      </w:r>
      <w:r w:rsidRPr="00E62633">
        <w:rPr>
          <w:rFonts w:eastAsia="Times New Roman"/>
          <w:lang w:eastAsia="it-IT"/>
        </w:rPr>
        <w:t>. While the industry continues to attract talent, it calls for more structured training and professional development programmes. Promising start-ups and SMEs were also recognised for their innovative contributions.</w:t>
      </w:r>
    </w:p>
    <w:p w14:paraId="1D9B5B06" w14:textId="77777777" w:rsidR="00115A50" w:rsidRPr="00E62633" w:rsidRDefault="00115A50" w:rsidP="00115A50">
      <w:pPr>
        <w:shd w:val="clear" w:color="auto" w:fill="FFFFFF"/>
        <w:jc w:val="both"/>
        <w:rPr>
          <w:rFonts w:ascii="Segoe UI" w:eastAsia="Times New Roman" w:hAnsi="Segoe UI" w:cs="Segoe UI"/>
          <w:sz w:val="21"/>
          <w:szCs w:val="21"/>
          <w:lang w:eastAsia="it-IT"/>
        </w:rPr>
      </w:pPr>
      <w:r w:rsidRPr="00E62633">
        <w:rPr>
          <w:rFonts w:eastAsia="Times New Roman"/>
          <w:b/>
          <w:bCs/>
          <w:lang w:eastAsia="it-IT"/>
        </w:rPr>
        <w:t> </w:t>
      </w:r>
    </w:p>
    <w:p w14:paraId="6BFFC81F" w14:textId="37DE5891" w:rsidR="00115A50" w:rsidRPr="00E62633" w:rsidRDefault="00E62633" w:rsidP="00115A50">
      <w:pPr>
        <w:shd w:val="clear" w:color="auto" w:fill="FFFFFF"/>
        <w:jc w:val="both"/>
        <w:rPr>
          <w:rFonts w:eastAsia="Times New Roman"/>
          <w:lang w:eastAsia="it-IT"/>
        </w:rPr>
      </w:pPr>
      <w:r w:rsidRPr="00E62633">
        <w:rPr>
          <w:rFonts w:eastAsia="Times New Roman"/>
          <w:b/>
          <w:bCs/>
          <w:lang w:eastAsia="it-IT"/>
        </w:rPr>
        <w:t>INOUT: THE FORMAT DEDICATED TO THE HOTELS, BEACHES, AND CAMPSITES</w:t>
      </w:r>
    </w:p>
    <w:p w14:paraId="4EAD5063" w14:textId="48E7D67E" w:rsidR="00115A50" w:rsidRPr="00E62633" w:rsidRDefault="00E62633" w:rsidP="00115A50">
      <w:pPr>
        <w:shd w:val="clear" w:color="auto" w:fill="FFFFFF"/>
        <w:jc w:val="both"/>
        <w:rPr>
          <w:rFonts w:eastAsia="Times New Roman"/>
          <w:lang w:eastAsia="it-IT"/>
        </w:rPr>
      </w:pPr>
      <w:r w:rsidRPr="00E62633">
        <w:rPr>
          <w:rFonts w:eastAsia="Times New Roman"/>
          <w:b/>
          <w:bCs/>
          <w:lang w:eastAsia="it-IT"/>
        </w:rPr>
        <w:t>InOut | The Hospitality Community</w:t>
      </w:r>
      <w:r w:rsidRPr="00E62633">
        <w:rPr>
          <w:rFonts w:eastAsia="Times New Roman"/>
          <w:lang w:eastAsia="it-IT"/>
        </w:rPr>
        <w:t xml:space="preserve"> highlighted innovations in hospitality design, services, and furnishings, covering everything from indoor spaces to beach and campsite facilities. </w:t>
      </w:r>
      <w:r w:rsidRPr="00E62633">
        <w:rPr>
          <w:rFonts w:eastAsia="Times New Roman"/>
          <w:b/>
          <w:bCs/>
          <w:lang w:eastAsia="it-IT"/>
        </w:rPr>
        <w:t>Wellness</w:t>
      </w:r>
      <w:r w:rsidRPr="00E62633">
        <w:rPr>
          <w:rFonts w:eastAsia="Times New Roman"/>
          <w:lang w:eastAsia="it-IT"/>
        </w:rPr>
        <w:t xml:space="preserve"> emerged as a central theme in the </w:t>
      </w:r>
      <w:r w:rsidRPr="00E62633">
        <w:rPr>
          <w:rFonts w:eastAsia="Times New Roman"/>
          <w:b/>
          <w:bCs/>
          <w:lang w:eastAsia="it-IT"/>
        </w:rPr>
        <w:t>Poolwide</w:t>
      </w:r>
      <w:r w:rsidRPr="00E62633">
        <w:rPr>
          <w:rFonts w:eastAsia="Times New Roman"/>
          <w:lang w:eastAsia="it-IT"/>
        </w:rPr>
        <w:t xml:space="preserve"> area, measured by the </w:t>
      </w:r>
      <w:r w:rsidRPr="00E62633">
        <w:rPr>
          <w:rFonts w:eastAsia="Times New Roman"/>
          <w:b/>
          <w:bCs/>
          <w:lang w:eastAsia="it-IT"/>
        </w:rPr>
        <w:t>ability to offer comprehensive experiences</w:t>
      </w:r>
      <w:r w:rsidRPr="00E62633">
        <w:rPr>
          <w:rFonts w:eastAsia="Times New Roman"/>
          <w:lang w:eastAsia="it-IT"/>
        </w:rPr>
        <w:t xml:space="preserve"> that integrate </w:t>
      </w:r>
      <w:r w:rsidRPr="00E62633">
        <w:rPr>
          <w:rFonts w:eastAsia="Times New Roman"/>
          <w:b/>
          <w:bCs/>
          <w:lang w:eastAsia="it-IT"/>
        </w:rPr>
        <w:t>self-care, quality nutrition, and psychophysical harmony</w:t>
      </w:r>
      <w:r w:rsidRPr="00E62633">
        <w:rPr>
          <w:rFonts w:eastAsia="Times New Roman"/>
          <w:lang w:eastAsia="it-IT"/>
        </w:rPr>
        <w:t>. From saunas to sensory rituals, and integrating with gastronomic and sports offerings, a vision of wellness tourism emerges that embraces the body, mind, and the local area.</w:t>
      </w:r>
    </w:p>
    <w:p w14:paraId="69F1BB02" w14:textId="77777777" w:rsidR="00115A50" w:rsidRPr="00E62633" w:rsidRDefault="00115A50" w:rsidP="00115A50">
      <w:pPr>
        <w:shd w:val="clear" w:color="auto" w:fill="FFFFFF"/>
        <w:jc w:val="both"/>
        <w:rPr>
          <w:rFonts w:eastAsia="Times New Roman"/>
          <w:lang w:eastAsia="it-IT"/>
        </w:rPr>
      </w:pPr>
      <w:r w:rsidRPr="00E62633">
        <w:rPr>
          <w:rFonts w:eastAsia="Times New Roman"/>
          <w:lang w:eastAsia="it-IT"/>
        </w:rPr>
        <w:t> </w:t>
      </w:r>
    </w:p>
    <w:p w14:paraId="79A01BC8" w14:textId="24EFEA43" w:rsidR="00115A50" w:rsidRPr="00E62633" w:rsidRDefault="00E62633" w:rsidP="00115A50">
      <w:pPr>
        <w:jc w:val="both"/>
        <w:rPr>
          <w:rFonts w:eastAsia="Times New Roman"/>
          <w:b/>
          <w:bCs/>
          <w:shd w:val="clear" w:color="auto" w:fill="FFFF00"/>
          <w:lang w:eastAsia="it-IT"/>
        </w:rPr>
      </w:pPr>
      <w:r w:rsidRPr="00E62633">
        <w:rPr>
          <w:rFonts w:eastAsia="Times New Roman"/>
          <w:b/>
          <w:bCs/>
          <w:lang w:eastAsia="it-IT"/>
        </w:rPr>
        <w:t>Save the Date – Join Italian Exhibition Group at Rimini Expo Centre, October 14–16, 2026, for the next edition of TTG and InOut.</w:t>
      </w:r>
    </w:p>
    <w:p w14:paraId="5F8E72D5" w14:textId="77777777" w:rsidR="00115A50" w:rsidRPr="00E62633" w:rsidRDefault="00115A50" w:rsidP="00115A50">
      <w:pPr>
        <w:shd w:val="clear" w:color="auto" w:fill="FFFFFF"/>
        <w:jc w:val="both"/>
        <w:rPr>
          <w:rFonts w:eastAsia="Times New Roman"/>
          <w:color w:val="000000"/>
          <w:lang w:eastAsia="it-IT"/>
        </w:rPr>
      </w:pPr>
    </w:p>
    <w:p w14:paraId="386AE644" w14:textId="77777777" w:rsidR="004B2C86" w:rsidRPr="00E62633" w:rsidRDefault="004B2C86" w:rsidP="004B2C86">
      <w:pPr>
        <w:jc w:val="both"/>
        <w:rPr>
          <w:b/>
          <w:bCs/>
          <w:sz w:val="18"/>
          <w:szCs w:val="18"/>
        </w:rPr>
      </w:pPr>
      <w:r w:rsidRPr="00E62633">
        <w:rPr>
          <w:b/>
          <w:bCs/>
          <w:sz w:val="18"/>
          <w:szCs w:val="18"/>
        </w:rPr>
        <w:t>ABOUT TTG TRAVEL EXPERIENCE – INOUT | The Hospitality Community</w:t>
      </w:r>
    </w:p>
    <w:p w14:paraId="74CE588D" w14:textId="098B4DFA" w:rsidR="00E62633" w:rsidRPr="00E62633" w:rsidRDefault="00E62633" w:rsidP="00E62633">
      <w:pPr>
        <w:jc w:val="both"/>
        <w:rPr>
          <w:sz w:val="20"/>
          <w:szCs w:val="20"/>
        </w:rPr>
      </w:pPr>
      <w:r w:rsidRPr="00E62633">
        <w:rPr>
          <w:b/>
          <w:bCs/>
          <w:sz w:val="18"/>
          <w:szCs w:val="18"/>
        </w:rPr>
        <w:t>Event</w:t>
      </w:r>
      <w:r w:rsidRPr="00E62633">
        <w:rPr>
          <w:sz w:val="18"/>
          <w:szCs w:val="18"/>
        </w:rPr>
        <w:t xml:space="preserve">: international trade show; </w:t>
      </w:r>
      <w:r w:rsidRPr="00E62633">
        <w:rPr>
          <w:b/>
          <w:bCs/>
          <w:sz w:val="18"/>
          <w:szCs w:val="18"/>
        </w:rPr>
        <w:t>organiser</w:t>
      </w:r>
      <w:r w:rsidRPr="00E62633">
        <w:rPr>
          <w:sz w:val="18"/>
          <w:szCs w:val="18"/>
        </w:rPr>
        <w:t xml:space="preserve">: Italian Exhibition Group SpA; </w:t>
      </w:r>
      <w:r w:rsidRPr="00E62633">
        <w:rPr>
          <w:b/>
          <w:bCs/>
          <w:sz w:val="18"/>
          <w:szCs w:val="18"/>
        </w:rPr>
        <w:t>frequency</w:t>
      </w:r>
      <w:r w:rsidRPr="00E62633">
        <w:rPr>
          <w:sz w:val="18"/>
          <w:szCs w:val="18"/>
        </w:rPr>
        <w:t xml:space="preserve">: annual; </w:t>
      </w:r>
      <w:r w:rsidRPr="00E62633">
        <w:rPr>
          <w:b/>
          <w:bCs/>
          <w:sz w:val="18"/>
          <w:szCs w:val="18"/>
        </w:rPr>
        <w:t>edition</w:t>
      </w:r>
      <w:r w:rsidRPr="00E62633">
        <w:rPr>
          <w:sz w:val="18"/>
          <w:szCs w:val="18"/>
        </w:rPr>
        <w:t>: 62</w:t>
      </w:r>
      <w:r w:rsidRPr="00E62633">
        <w:rPr>
          <w:sz w:val="18"/>
          <w:szCs w:val="18"/>
          <w:vertAlign w:val="superscript"/>
        </w:rPr>
        <w:t>nd</w:t>
      </w:r>
      <w:r w:rsidRPr="00E62633">
        <w:rPr>
          <w:sz w:val="18"/>
          <w:szCs w:val="18"/>
        </w:rPr>
        <w:t xml:space="preserve">; </w:t>
      </w:r>
      <w:r w:rsidRPr="00E62633">
        <w:rPr>
          <w:b/>
          <w:bCs/>
          <w:sz w:val="18"/>
          <w:szCs w:val="18"/>
        </w:rPr>
        <w:t>open to</w:t>
      </w:r>
      <w:r w:rsidRPr="00E62633">
        <w:rPr>
          <w:sz w:val="18"/>
          <w:szCs w:val="18"/>
        </w:rPr>
        <w:t xml:space="preserve">: trade only; </w:t>
      </w:r>
      <w:r w:rsidRPr="00E62633">
        <w:rPr>
          <w:b/>
          <w:bCs/>
          <w:sz w:val="18"/>
          <w:szCs w:val="18"/>
        </w:rPr>
        <w:t>website</w:t>
      </w:r>
      <w:r w:rsidRPr="00E62633">
        <w:rPr>
          <w:sz w:val="18"/>
          <w:szCs w:val="18"/>
        </w:rPr>
        <w:t>: </w:t>
      </w:r>
      <w:hyperlink r:id="rId7" w:tooltip="´web" w:history="1">
        <w:r w:rsidRPr="00E62633">
          <w:rPr>
            <w:rStyle w:val="Collegamentoipertestuale"/>
            <w:sz w:val="18"/>
            <w:szCs w:val="18"/>
          </w:rPr>
          <w:t>www.ttgexpo.it</w:t>
        </w:r>
      </w:hyperlink>
      <w:r w:rsidRPr="00E62633">
        <w:rPr>
          <w:sz w:val="18"/>
          <w:szCs w:val="18"/>
        </w:rPr>
        <w:t> </w:t>
      </w:r>
      <w:hyperlink r:id="rId8" w:history="1">
        <w:r w:rsidRPr="00E62633">
          <w:rPr>
            <w:rStyle w:val="Collegamentoipertestuale"/>
            <w:sz w:val="18"/>
            <w:szCs w:val="18"/>
          </w:rPr>
          <w:t>www.inoutexpo.it</w:t>
        </w:r>
      </w:hyperlink>
      <w:r w:rsidRPr="00E62633">
        <w:rPr>
          <w:sz w:val="20"/>
          <w:szCs w:val="20"/>
        </w:rPr>
        <w:t xml:space="preserve">  </w:t>
      </w:r>
      <w:r w:rsidRPr="00E62633">
        <w:rPr>
          <w:sz w:val="18"/>
          <w:szCs w:val="18"/>
        </w:rPr>
        <w:t xml:space="preserve">- #ttgexpo  </w:t>
      </w:r>
    </w:p>
    <w:p w14:paraId="78109AC9" w14:textId="2B28159B" w:rsidR="004B2C86" w:rsidRPr="00E62633" w:rsidRDefault="004B2C86" w:rsidP="004B2C86">
      <w:pPr>
        <w:jc w:val="both"/>
        <w:rPr>
          <w:sz w:val="18"/>
          <w:szCs w:val="18"/>
        </w:rPr>
      </w:pPr>
    </w:p>
    <w:p w14:paraId="300F1A4A" w14:textId="77777777" w:rsidR="004B2C86" w:rsidRPr="00E62633" w:rsidRDefault="004B2C86" w:rsidP="004B2C86">
      <w:pPr>
        <w:jc w:val="both"/>
        <w:rPr>
          <w:b/>
          <w:bCs/>
          <w:sz w:val="18"/>
          <w:szCs w:val="18"/>
        </w:rPr>
      </w:pPr>
      <w:r w:rsidRPr="00E62633">
        <w:rPr>
          <w:b/>
          <w:bCs/>
          <w:sz w:val="18"/>
          <w:szCs w:val="18"/>
        </w:rPr>
        <w:t>PRESS CONTACT IEG, TTG TRAVEL EXPERIENCE</w:t>
      </w:r>
    </w:p>
    <w:p w14:paraId="4E7059BB" w14:textId="77777777" w:rsidR="004B2C86" w:rsidRPr="00903873" w:rsidRDefault="004B2C86" w:rsidP="004B2C86">
      <w:pPr>
        <w:jc w:val="both"/>
        <w:rPr>
          <w:sz w:val="18"/>
          <w:szCs w:val="18"/>
          <w:lang w:val="it-IT"/>
        </w:rPr>
      </w:pPr>
      <w:r w:rsidRPr="00903873">
        <w:rPr>
          <w:sz w:val="18"/>
          <w:szCs w:val="18"/>
          <w:lang w:val="it-IT"/>
        </w:rPr>
        <w:t>Elisabetta Vitali, head of corporate communication &amp; media relation; Marco Forcellini, Pier Francesco Bellini, press office manager</w:t>
      </w:r>
    </w:p>
    <w:p w14:paraId="472F3466" w14:textId="77777777" w:rsidR="004B2C86" w:rsidRPr="00E62633" w:rsidRDefault="004B2C86" w:rsidP="004B2C86">
      <w:pPr>
        <w:jc w:val="both"/>
        <w:rPr>
          <w:sz w:val="18"/>
          <w:szCs w:val="18"/>
          <w:u w:val="single"/>
        </w:rPr>
      </w:pPr>
      <w:hyperlink r:id="rId9" w:history="1">
        <w:r w:rsidRPr="00E62633">
          <w:rPr>
            <w:rStyle w:val="Collegamentoipertestuale"/>
            <w:sz w:val="18"/>
            <w:szCs w:val="18"/>
          </w:rPr>
          <w:t>media@iegexpo.it</w:t>
        </w:r>
      </w:hyperlink>
    </w:p>
    <w:p w14:paraId="78FA023F" w14:textId="77777777" w:rsidR="004B2C86" w:rsidRPr="00E62633" w:rsidRDefault="004B2C86" w:rsidP="004B2C86">
      <w:pPr>
        <w:jc w:val="both"/>
        <w:rPr>
          <w:sz w:val="18"/>
          <w:szCs w:val="18"/>
          <w:u w:val="single"/>
        </w:rPr>
      </w:pPr>
      <w:r w:rsidRPr="00E62633">
        <w:rPr>
          <w:b/>
          <w:bCs/>
          <w:sz w:val="18"/>
          <w:szCs w:val="18"/>
        </w:rPr>
        <w:t>MEDIA AGENCY TTG TRAVEL EXPERIENCE</w:t>
      </w:r>
    </w:p>
    <w:p w14:paraId="2A3518E2" w14:textId="77777777" w:rsidR="004B2C86" w:rsidRPr="00E62633" w:rsidRDefault="004B2C86" w:rsidP="004B2C86">
      <w:pPr>
        <w:jc w:val="both"/>
        <w:rPr>
          <w:sz w:val="18"/>
          <w:szCs w:val="18"/>
          <w:u w:val="single"/>
        </w:rPr>
      </w:pPr>
      <w:r w:rsidRPr="00903873">
        <w:rPr>
          <w:sz w:val="18"/>
          <w:szCs w:val="18"/>
          <w:lang w:val="it-IT"/>
        </w:rPr>
        <w:t xml:space="preserve">Martina Vacca: </w:t>
      </w:r>
      <w:hyperlink r:id="rId10" w:history="1">
        <w:r w:rsidRPr="00903873">
          <w:rPr>
            <w:rStyle w:val="Collegamentoipertestuale"/>
            <w:sz w:val="18"/>
            <w:szCs w:val="18"/>
            <w:lang w:val="it-IT"/>
          </w:rPr>
          <w:t>martina@mindthepop.it</w:t>
        </w:r>
      </w:hyperlink>
      <w:r w:rsidRPr="00903873">
        <w:rPr>
          <w:sz w:val="18"/>
          <w:szCs w:val="18"/>
          <w:lang w:val="it-IT"/>
        </w:rPr>
        <w:t xml:space="preserve">, mob. +39 339 748 5994; Fabrizio Raimondi: </w:t>
      </w:r>
      <w:hyperlink r:id="rId11" w:history="1">
        <w:r w:rsidRPr="00903873">
          <w:rPr>
            <w:rStyle w:val="Collegamentoipertestuale"/>
            <w:sz w:val="18"/>
            <w:szCs w:val="18"/>
            <w:lang w:val="it-IT"/>
          </w:rPr>
          <w:t>fabrizio@mindthepop.it</w:t>
        </w:r>
      </w:hyperlink>
      <w:r w:rsidRPr="00903873">
        <w:rPr>
          <w:sz w:val="18"/>
          <w:szCs w:val="18"/>
          <w:lang w:val="it-IT"/>
        </w:rPr>
        <w:t xml:space="preserve">, mob. +39 335 389 848; Benedetto Colli: </w:t>
      </w:r>
      <w:hyperlink r:id="rId12" w:history="1">
        <w:r w:rsidRPr="00903873">
          <w:rPr>
            <w:rStyle w:val="Collegamentoipertestuale"/>
            <w:sz w:val="18"/>
            <w:szCs w:val="18"/>
            <w:lang w:val="it-IT"/>
          </w:rPr>
          <w:t>benedetto@mindthepop.it</w:t>
        </w:r>
      </w:hyperlink>
      <w:r w:rsidRPr="00903873">
        <w:rPr>
          <w:sz w:val="18"/>
          <w:szCs w:val="18"/>
          <w:lang w:val="it-IT"/>
        </w:rPr>
        <w:t xml:space="preserve">, mob. 380 371 2272; Stefano Chiossi: </w:t>
      </w:r>
      <w:hyperlink r:id="rId13" w:history="1">
        <w:r w:rsidRPr="00903873">
          <w:rPr>
            <w:rStyle w:val="Collegamentoipertestuale"/>
            <w:sz w:val="18"/>
            <w:szCs w:val="18"/>
            <w:lang w:val="it-IT"/>
          </w:rPr>
          <w:t>stefano@mindthepop.it</w:t>
        </w:r>
      </w:hyperlink>
      <w:r w:rsidRPr="00903873">
        <w:rPr>
          <w:sz w:val="18"/>
          <w:szCs w:val="18"/>
          <w:lang w:val="it-IT"/>
        </w:rPr>
        <w:t xml:space="preserve">, mob. </w:t>
      </w:r>
      <w:r w:rsidRPr="00E62633">
        <w:rPr>
          <w:sz w:val="18"/>
          <w:szCs w:val="18"/>
        </w:rPr>
        <w:t>+ 39 388 739 4358.</w:t>
      </w:r>
    </w:p>
    <w:p w14:paraId="6F18E28C" w14:textId="77777777" w:rsidR="00A40E85" w:rsidRPr="00E62633" w:rsidRDefault="00A40E85" w:rsidP="00A40E85">
      <w:pPr>
        <w:rPr>
          <w:sz w:val="18"/>
          <w:szCs w:val="18"/>
        </w:rPr>
      </w:pPr>
      <w:r w:rsidRPr="00E62633">
        <w:rPr>
          <w:noProof/>
          <w:sz w:val="18"/>
          <w:szCs w:val="18"/>
          <w14:ligatures w14:val="standardContextual"/>
        </w:rPr>
        <w:lastRenderedPageBreak/>
        <w:drawing>
          <wp:inline distT="0" distB="0" distL="0" distR="0" wp14:anchorId="35248591" wp14:editId="5524D45B">
            <wp:extent cx="4986655" cy="1560464"/>
            <wp:effectExtent l="0" t="0" r="4445" b="1905"/>
            <wp:docPr id="463629207" name="Immagine 1"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29207" name="Immagine 1" descr="Immagine che contiene testo, Carattere, schermata, design&#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11266" cy="1568165"/>
                    </a:xfrm>
                    <a:prstGeom prst="rect">
                      <a:avLst/>
                    </a:prstGeom>
                  </pic:spPr>
                </pic:pic>
              </a:graphicData>
            </a:graphic>
          </wp:inline>
        </w:drawing>
      </w:r>
    </w:p>
    <w:p w14:paraId="28B7FAFD" w14:textId="77777777" w:rsidR="00A40E85" w:rsidRPr="00903873" w:rsidRDefault="00A40E85" w:rsidP="00A40E85">
      <w:pPr>
        <w:jc w:val="both"/>
        <w:rPr>
          <w:sz w:val="14"/>
          <w:szCs w:val="14"/>
          <w:lang w:val="it-IT"/>
        </w:rPr>
      </w:pPr>
      <w:r w:rsidRPr="00903873">
        <w:rPr>
          <w:color w:val="111111"/>
          <w:sz w:val="14"/>
          <w:szCs w:val="14"/>
          <w:lang w:val="it-IT"/>
        </w:rPr>
        <w:t>Il presente comunicato stampa contiene elementi previsionali e stime che riflettono le attuali opinioni del management (“forward-</w:t>
      </w:r>
      <w:r w:rsidRPr="00903873">
        <w:rPr>
          <w:color w:val="111111"/>
          <w:spacing w:val="1"/>
          <w:sz w:val="14"/>
          <w:szCs w:val="14"/>
          <w:lang w:val="it-IT"/>
        </w:rPr>
        <w:t xml:space="preserve"> </w:t>
      </w:r>
      <w:r w:rsidRPr="00903873">
        <w:rPr>
          <w:color w:val="111111"/>
          <w:sz w:val="14"/>
          <w:szCs w:val="14"/>
          <w:lang w:val="it-IT"/>
        </w:rPr>
        <w:t>looking statements”) specie per quanto riguarda performance gestionali future, realizzazione di investimenti, andamento dei flussi</w:t>
      </w:r>
      <w:r w:rsidRPr="00903873">
        <w:rPr>
          <w:color w:val="111111"/>
          <w:spacing w:val="1"/>
          <w:sz w:val="14"/>
          <w:szCs w:val="14"/>
          <w:lang w:val="it-IT"/>
        </w:rPr>
        <w:t xml:space="preserve"> </w:t>
      </w:r>
      <w:r w:rsidRPr="00903873">
        <w:rPr>
          <w:color w:val="111111"/>
          <w:sz w:val="14"/>
          <w:szCs w:val="14"/>
          <w:lang w:val="it-IT"/>
        </w:rPr>
        <w:t>di cassa ed evoluzione della struttura finanziaria. I forward-looking statements hanno per loro natura una componente di rischio ed</w:t>
      </w:r>
      <w:r w:rsidRPr="00903873">
        <w:rPr>
          <w:color w:val="111111"/>
          <w:spacing w:val="1"/>
          <w:sz w:val="14"/>
          <w:szCs w:val="14"/>
          <w:lang w:val="it-IT"/>
        </w:rPr>
        <w:t xml:space="preserve"> </w:t>
      </w:r>
      <w:r w:rsidRPr="00903873">
        <w:rPr>
          <w:color w:val="111111"/>
          <w:sz w:val="14"/>
          <w:szCs w:val="14"/>
          <w:lang w:val="it-IT"/>
        </w:rPr>
        <w:t>incertezza</w:t>
      </w:r>
      <w:r w:rsidRPr="00903873">
        <w:rPr>
          <w:color w:val="111111"/>
          <w:spacing w:val="-6"/>
          <w:sz w:val="14"/>
          <w:szCs w:val="14"/>
          <w:lang w:val="it-IT"/>
        </w:rPr>
        <w:t xml:space="preserve"> </w:t>
      </w:r>
      <w:r w:rsidRPr="00903873">
        <w:rPr>
          <w:color w:val="111111"/>
          <w:sz w:val="14"/>
          <w:szCs w:val="14"/>
          <w:lang w:val="it-IT"/>
        </w:rPr>
        <w:t>perché</w:t>
      </w:r>
      <w:r w:rsidRPr="00903873">
        <w:rPr>
          <w:color w:val="111111"/>
          <w:spacing w:val="-7"/>
          <w:sz w:val="14"/>
          <w:szCs w:val="14"/>
          <w:lang w:val="it-IT"/>
        </w:rPr>
        <w:t xml:space="preserve"> </w:t>
      </w:r>
      <w:r w:rsidRPr="00903873">
        <w:rPr>
          <w:color w:val="111111"/>
          <w:sz w:val="14"/>
          <w:szCs w:val="14"/>
          <w:lang w:val="it-IT"/>
        </w:rPr>
        <w:t>dipendono</w:t>
      </w:r>
      <w:r w:rsidRPr="00903873">
        <w:rPr>
          <w:color w:val="111111"/>
          <w:spacing w:val="-4"/>
          <w:sz w:val="14"/>
          <w:szCs w:val="14"/>
          <w:lang w:val="it-IT"/>
        </w:rPr>
        <w:t xml:space="preserve"> </w:t>
      </w:r>
      <w:r w:rsidRPr="00903873">
        <w:rPr>
          <w:color w:val="111111"/>
          <w:sz w:val="14"/>
          <w:szCs w:val="14"/>
          <w:lang w:val="it-IT"/>
        </w:rPr>
        <w:t>dal</w:t>
      </w:r>
      <w:r w:rsidRPr="00903873">
        <w:rPr>
          <w:color w:val="111111"/>
          <w:spacing w:val="-4"/>
          <w:sz w:val="14"/>
          <w:szCs w:val="14"/>
          <w:lang w:val="it-IT"/>
        </w:rPr>
        <w:t xml:space="preserve"> </w:t>
      </w:r>
      <w:r w:rsidRPr="00903873">
        <w:rPr>
          <w:color w:val="111111"/>
          <w:sz w:val="14"/>
          <w:szCs w:val="14"/>
          <w:lang w:val="it-IT"/>
        </w:rPr>
        <w:t>verificarsi</w:t>
      </w:r>
      <w:r w:rsidRPr="00903873">
        <w:rPr>
          <w:color w:val="111111"/>
          <w:spacing w:val="-4"/>
          <w:sz w:val="14"/>
          <w:szCs w:val="14"/>
          <w:lang w:val="it-IT"/>
        </w:rPr>
        <w:t xml:space="preserve"> </w:t>
      </w:r>
      <w:r w:rsidRPr="00903873">
        <w:rPr>
          <w:color w:val="111111"/>
          <w:sz w:val="14"/>
          <w:szCs w:val="14"/>
          <w:lang w:val="it-IT"/>
        </w:rPr>
        <w:t>di</w:t>
      </w:r>
      <w:r w:rsidRPr="00903873">
        <w:rPr>
          <w:color w:val="111111"/>
          <w:spacing w:val="-5"/>
          <w:sz w:val="14"/>
          <w:szCs w:val="14"/>
          <w:lang w:val="it-IT"/>
        </w:rPr>
        <w:t xml:space="preserve"> </w:t>
      </w:r>
      <w:r w:rsidRPr="00903873">
        <w:rPr>
          <w:color w:val="111111"/>
          <w:sz w:val="14"/>
          <w:szCs w:val="14"/>
          <w:lang w:val="it-IT"/>
        </w:rPr>
        <w:t>eventi</w:t>
      </w:r>
      <w:r w:rsidRPr="00903873">
        <w:rPr>
          <w:color w:val="111111"/>
          <w:spacing w:val="-7"/>
          <w:sz w:val="14"/>
          <w:szCs w:val="14"/>
          <w:lang w:val="it-IT"/>
        </w:rPr>
        <w:t xml:space="preserve"> </w:t>
      </w:r>
      <w:r w:rsidRPr="00903873">
        <w:rPr>
          <w:color w:val="111111"/>
          <w:sz w:val="14"/>
          <w:szCs w:val="14"/>
          <w:lang w:val="it-IT"/>
        </w:rPr>
        <w:t>futuri.</w:t>
      </w:r>
      <w:r w:rsidRPr="00903873">
        <w:rPr>
          <w:color w:val="111111"/>
          <w:spacing w:val="-5"/>
          <w:sz w:val="14"/>
          <w:szCs w:val="14"/>
          <w:lang w:val="it-IT"/>
        </w:rPr>
        <w:t xml:space="preserve"> </w:t>
      </w:r>
      <w:r w:rsidRPr="00903873">
        <w:rPr>
          <w:color w:val="111111"/>
          <w:sz w:val="14"/>
          <w:szCs w:val="14"/>
          <w:lang w:val="it-IT"/>
        </w:rPr>
        <w:t>I</w:t>
      </w:r>
      <w:r w:rsidRPr="00903873">
        <w:rPr>
          <w:color w:val="111111"/>
          <w:spacing w:val="-3"/>
          <w:sz w:val="14"/>
          <w:szCs w:val="14"/>
          <w:lang w:val="it-IT"/>
        </w:rPr>
        <w:t xml:space="preserve"> </w:t>
      </w:r>
      <w:r w:rsidRPr="00903873">
        <w:rPr>
          <w:color w:val="111111"/>
          <w:sz w:val="14"/>
          <w:szCs w:val="14"/>
          <w:lang w:val="it-IT"/>
        </w:rPr>
        <w:t>risultati</w:t>
      </w:r>
      <w:r w:rsidRPr="00903873">
        <w:rPr>
          <w:color w:val="111111"/>
          <w:spacing w:val="-7"/>
          <w:sz w:val="14"/>
          <w:szCs w:val="14"/>
          <w:lang w:val="it-IT"/>
        </w:rPr>
        <w:t xml:space="preserve"> </w:t>
      </w:r>
      <w:r w:rsidRPr="00903873">
        <w:rPr>
          <w:color w:val="111111"/>
          <w:sz w:val="14"/>
          <w:szCs w:val="14"/>
          <w:lang w:val="it-IT"/>
        </w:rPr>
        <w:t>effettivi</w:t>
      </w:r>
      <w:r w:rsidRPr="00903873">
        <w:rPr>
          <w:color w:val="111111"/>
          <w:spacing w:val="-2"/>
          <w:sz w:val="14"/>
          <w:szCs w:val="14"/>
          <w:lang w:val="it-IT"/>
        </w:rPr>
        <w:t xml:space="preserve"> </w:t>
      </w:r>
      <w:r w:rsidRPr="00903873">
        <w:rPr>
          <w:color w:val="111111"/>
          <w:sz w:val="14"/>
          <w:szCs w:val="14"/>
          <w:lang w:val="it-IT"/>
        </w:rPr>
        <w:t>potranno</w:t>
      </w:r>
      <w:r w:rsidRPr="00903873">
        <w:rPr>
          <w:color w:val="111111"/>
          <w:spacing w:val="-3"/>
          <w:sz w:val="14"/>
          <w:szCs w:val="14"/>
          <w:lang w:val="it-IT"/>
        </w:rPr>
        <w:t xml:space="preserve"> </w:t>
      </w:r>
      <w:r w:rsidRPr="00903873">
        <w:rPr>
          <w:color w:val="111111"/>
          <w:sz w:val="14"/>
          <w:szCs w:val="14"/>
          <w:lang w:val="it-IT"/>
        </w:rPr>
        <w:t>differire</w:t>
      </w:r>
      <w:r w:rsidRPr="00903873">
        <w:rPr>
          <w:color w:val="111111"/>
          <w:spacing w:val="-7"/>
          <w:sz w:val="14"/>
          <w:szCs w:val="14"/>
          <w:lang w:val="it-IT"/>
        </w:rPr>
        <w:t xml:space="preserve"> </w:t>
      </w:r>
      <w:r w:rsidRPr="00903873">
        <w:rPr>
          <w:color w:val="111111"/>
          <w:sz w:val="14"/>
          <w:szCs w:val="14"/>
          <w:lang w:val="it-IT"/>
        </w:rPr>
        <w:t>anche</w:t>
      </w:r>
      <w:r w:rsidRPr="00903873">
        <w:rPr>
          <w:color w:val="111111"/>
          <w:spacing w:val="-6"/>
          <w:sz w:val="14"/>
          <w:szCs w:val="14"/>
          <w:lang w:val="it-IT"/>
        </w:rPr>
        <w:t xml:space="preserve"> </w:t>
      </w:r>
      <w:r w:rsidRPr="00903873">
        <w:rPr>
          <w:color w:val="111111"/>
          <w:sz w:val="14"/>
          <w:szCs w:val="14"/>
          <w:lang w:val="it-IT"/>
        </w:rPr>
        <w:t>in</w:t>
      </w:r>
      <w:r w:rsidRPr="00903873">
        <w:rPr>
          <w:color w:val="111111"/>
          <w:spacing w:val="-7"/>
          <w:sz w:val="14"/>
          <w:szCs w:val="14"/>
          <w:lang w:val="it-IT"/>
        </w:rPr>
        <w:t xml:space="preserve"> </w:t>
      </w:r>
      <w:r w:rsidRPr="00903873">
        <w:rPr>
          <w:color w:val="111111"/>
          <w:sz w:val="14"/>
          <w:szCs w:val="14"/>
          <w:lang w:val="it-IT"/>
        </w:rPr>
        <w:t>misura</w:t>
      </w:r>
      <w:r w:rsidRPr="00903873">
        <w:rPr>
          <w:color w:val="111111"/>
          <w:spacing w:val="-5"/>
          <w:sz w:val="14"/>
          <w:szCs w:val="14"/>
          <w:lang w:val="it-IT"/>
        </w:rPr>
        <w:t xml:space="preserve"> </w:t>
      </w:r>
      <w:r w:rsidRPr="00903873">
        <w:rPr>
          <w:color w:val="111111"/>
          <w:sz w:val="14"/>
          <w:szCs w:val="14"/>
          <w:lang w:val="it-IT"/>
        </w:rPr>
        <w:t>significativa</w:t>
      </w:r>
      <w:r w:rsidRPr="00903873">
        <w:rPr>
          <w:color w:val="111111"/>
          <w:spacing w:val="-6"/>
          <w:sz w:val="14"/>
          <w:szCs w:val="14"/>
          <w:lang w:val="it-IT"/>
        </w:rPr>
        <w:t xml:space="preserve"> </w:t>
      </w:r>
      <w:r w:rsidRPr="00903873">
        <w:rPr>
          <w:color w:val="111111"/>
          <w:sz w:val="14"/>
          <w:szCs w:val="14"/>
          <w:lang w:val="it-IT"/>
        </w:rPr>
        <w:t>rispetto</w:t>
      </w:r>
      <w:r w:rsidRPr="00903873">
        <w:rPr>
          <w:color w:val="111111"/>
          <w:spacing w:val="1"/>
          <w:sz w:val="14"/>
          <w:szCs w:val="14"/>
          <w:lang w:val="it-IT"/>
        </w:rPr>
        <w:t xml:space="preserve"> </w:t>
      </w:r>
      <w:r w:rsidRPr="00903873">
        <w:rPr>
          <w:color w:val="111111"/>
          <w:spacing w:val="-1"/>
          <w:sz w:val="14"/>
          <w:szCs w:val="14"/>
          <w:lang w:val="it-IT"/>
        </w:rPr>
        <w:t>a</w:t>
      </w:r>
      <w:r w:rsidRPr="00903873">
        <w:rPr>
          <w:color w:val="111111"/>
          <w:spacing w:val="-9"/>
          <w:sz w:val="14"/>
          <w:szCs w:val="14"/>
          <w:lang w:val="it-IT"/>
        </w:rPr>
        <w:t xml:space="preserve"> </w:t>
      </w:r>
      <w:r w:rsidRPr="00903873">
        <w:rPr>
          <w:color w:val="111111"/>
          <w:spacing w:val="-1"/>
          <w:sz w:val="14"/>
          <w:szCs w:val="14"/>
          <w:lang w:val="it-IT"/>
        </w:rPr>
        <w:t>quelli</w:t>
      </w:r>
      <w:r w:rsidRPr="00903873">
        <w:rPr>
          <w:color w:val="111111"/>
          <w:spacing w:val="-9"/>
          <w:sz w:val="14"/>
          <w:szCs w:val="14"/>
          <w:lang w:val="it-IT"/>
        </w:rPr>
        <w:t xml:space="preserve"> </w:t>
      </w:r>
      <w:r w:rsidRPr="00903873">
        <w:rPr>
          <w:color w:val="111111"/>
          <w:spacing w:val="-1"/>
          <w:sz w:val="14"/>
          <w:szCs w:val="14"/>
          <w:lang w:val="it-IT"/>
        </w:rPr>
        <w:t>annunciati,</w:t>
      </w:r>
      <w:r w:rsidRPr="00903873">
        <w:rPr>
          <w:color w:val="111111"/>
          <w:spacing w:val="-8"/>
          <w:sz w:val="14"/>
          <w:szCs w:val="14"/>
          <w:lang w:val="it-IT"/>
        </w:rPr>
        <w:t xml:space="preserve"> </w:t>
      </w:r>
      <w:r w:rsidRPr="00903873">
        <w:rPr>
          <w:color w:val="111111"/>
          <w:spacing w:val="-1"/>
          <w:sz w:val="14"/>
          <w:szCs w:val="14"/>
          <w:lang w:val="it-IT"/>
        </w:rPr>
        <w:t>in</w:t>
      </w:r>
      <w:r w:rsidRPr="00903873">
        <w:rPr>
          <w:color w:val="111111"/>
          <w:spacing w:val="-9"/>
          <w:sz w:val="14"/>
          <w:szCs w:val="14"/>
          <w:lang w:val="it-IT"/>
        </w:rPr>
        <w:t xml:space="preserve"> </w:t>
      </w:r>
      <w:r w:rsidRPr="00903873">
        <w:rPr>
          <w:color w:val="111111"/>
          <w:spacing w:val="-1"/>
          <w:sz w:val="14"/>
          <w:szCs w:val="14"/>
          <w:lang w:val="it-IT"/>
        </w:rPr>
        <w:t>relazione</w:t>
      </w:r>
      <w:r w:rsidRPr="00903873">
        <w:rPr>
          <w:color w:val="111111"/>
          <w:spacing w:val="-9"/>
          <w:sz w:val="14"/>
          <w:szCs w:val="14"/>
          <w:lang w:val="it-IT"/>
        </w:rPr>
        <w:t xml:space="preserve"> </w:t>
      </w:r>
      <w:r w:rsidRPr="00903873">
        <w:rPr>
          <w:color w:val="111111"/>
          <w:spacing w:val="-1"/>
          <w:sz w:val="14"/>
          <w:szCs w:val="14"/>
          <w:lang w:val="it-IT"/>
        </w:rPr>
        <w:t>a</w:t>
      </w:r>
      <w:r w:rsidRPr="00903873">
        <w:rPr>
          <w:color w:val="111111"/>
          <w:spacing w:val="-8"/>
          <w:sz w:val="14"/>
          <w:szCs w:val="14"/>
          <w:lang w:val="it-IT"/>
        </w:rPr>
        <w:t xml:space="preserve"> </w:t>
      </w:r>
      <w:r w:rsidRPr="00903873">
        <w:rPr>
          <w:color w:val="111111"/>
          <w:spacing w:val="-1"/>
          <w:sz w:val="14"/>
          <w:szCs w:val="14"/>
          <w:lang w:val="it-IT"/>
        </w:rPr>
        <w:t>una</w:t>
      </w:r>
      <w:r w:rsidRPr="00903873">
        <w:rPr>
          <w:color w:val="111111"/>
          <w:spacing w:val="-9"/>
          <w:sz w:val="14"/>
          <w:szCs w:val="14"/>
          <w:lang w:val="it-IT"/>
        </w:rPr>
        <w:t xml:space="preserve"> </w:t>
      </w:r>
      <w:r w:rsidRPr="00903873">
        <w:rPr>
          <w:color w:val="111111"/>
          <w:sz w:val="14"/>
          <w:szCs w:val="14"/>
          <w:lang w:val="it-IT"/>
        </w:rPr>
        <w:t>pluralità</w:t>
      </w:r>
      <w:r w:rsidRPr="00903873">
        <w:rPr>
          <w:color w:val="111111"/>
          <w:spacing w:val="-9"/>
          <w:sz w:val="14"/>
          <w:szCs w:val="14"/>
          <w:lang w:val="it-IT"/>
        </w:rPr>
        <w:t xml:space="preserve"> </w:t>
      </w:r>
      <w:r w:rsidRPr="00903873">
        <w:rPr>
          <w:color w:val="111111"/>
          <w:sz w:val="14"/>
          <w:szCs w:val="14"/>
          <w:lang w:val="it-IT"/>
        </w:rPr>
        <w:t>di</w:t>
      </w:r>
      <w:r w:rsidRPr="00903873">
        <w:rPr>
          <w:color w:val="111111"/>
          <w:spacing w:val="-9"/>
          <w:sz w:val="14"/>
          <w:szCs w:val="14"/>
          <w:lang w:val="it-IT"/>
        </w:rPr>
        <w:t xml:space="preserve"> </w:t>
      </w:r>
      <w:r w:rsidRPr="00903873">
        <w:rPr>
          <w:color w:val="111111"/>
          <w:sz w:val="14"/>
          <w:szCs w:val="14"/>
          <w:lang w:val="it-IT"/>
        </w:rPr>
        <w:t>fattori</w:t>
      </w:r>
      <w:r w:rsidRPr="00903873">
        <w:rPr>
          <w:color w:val="111111"/>
          <w:spacing w:val="-10"/>
          <w:sz w:val="14"/>
          <w:szCs w:val="14"/>
          <w:lang w:val="it-IT"/>
        </w:rPr>
        <w:t xml:space="preserve"> </w:t>
      </w:r>
      <w:r w:rsidRPr="00903873">
        <w:rPr>
          <w:color w:val="111111"/>
          <w:sz w:val="14"/>
          <w:szCs w:val="14"/>
          <w:lang w:val="it-IT"/>
        </w:rPr>
        <w:t>tra</w:t>
      </w:r>
      <w:r w:rsidRPr="00903873">
        <w:rPr>
          <w:color w:val="111111"/>
          <w:spacing w:val="-8"/>
          <w:sz w:val="14"/>
          <w:szCs w:val="14"/>
          <w:lang w:val="it-IT"/>
        </w:rPr>
        <w:t xml:space="preserve"> </w:t>
      </w:r>
      <w:r w:rsidRPr="00903873">
        <w:rPr>
          <w:color w:val="111111"/>
          <w:sz w:val="14"/>
          <w:szCs w:val="14"/>
          <w:lang w:val="it-IT"/>
        </w:rPr>
        <w:t>cui,</w:t>
      </w:r>
      <w:r w:rsidRPr="00903873">
        <w:rPr>
          <w:color w:val="111111"/>
          <w:spacing w:val="-8"/>
          <w:sz w:val="14"/>
          <w:szCs w:val="14"/>
          <w:lang w:val="it-IT"/>
        </w:rPr>
        <w:t xml:space="preserve"> </w:t>
      </w:r>
      <w:r w:rsidRPr="00903873">
        <w:rPr>
          <w:color w:val="111111"/>
          <w:sz w:val="14"/>
          <w:szCs w:val="14"/>
          <w:lang w:val="it-IT"/>
        </w:rPr>
        <w:t>a</w:t>
      </w:r>
      <w:r w:rsidRPr="00903873">
        <w:rPr>
          <w:color w:val="111111"/>
          <w:spacing w:val="-8"/>
          <w:sz w:val="14"/>
          <w:szCs w:val="14"/>
          <w:lang w:val="it-IT"/>
        </w:rPr>
        <w:t xml:space="preserve"> </w:t>
      </w:r>
      <w:r w:rsidRPr="00903873">
        <w:rPr>
          <w:color w:val="111111"/>
          <w:sz w:val="14"/>
          <w:szCs w:val="14"/>
          <w:lang w:val="it-IT"/>
        </w:rPr>
        <w:t>solo</w:t>
      </w:r>
      <w:r w:rsidRPr="00903873">
        <w:rPr>
          <w:color w:val="111111"/>
          <w:spacing w:val="-9"/>
          <w:sz w:val="14"/>
          <w:szCs w:val="14"/>
          <w:lang w:val="it-IT"/>
        </w:rPr>
        <w:t xml:space="preserve"> </w:t>
      </w:r>
      <w:r w:rsidRPr="00903873">
        <w:rPr>
          <w:color w:val="111111"/>
          <w:sz w:val="14"/>
          <w:szCs w:val="14"/>
          <w:lang w:val="it-IT"/>
        </w:rPr>
        <w:t>titolo</w:t>
      </w:r>
      <w:r w:rsidRPr="00903873">
        <w:rPr>
          <w:color w:val="111111"/>
          <w:spacing w:val="-8"/>
          <w:sz w:val="14"/>
          <w:szCs w:val="14"/>
          <w:lang w:val="it-IT"/>
        </w:rPr>
        <w:t xml:space="preserve"> </w:t>
      </w:r>
      <w:r w:rsidRPr="00903873">
        <w:rPr>
          <w:color w:val="111111"/>
          <w:sz w:val="14"/>
          <w:szCs w:val="14"/>
          <w:lang w:val="it-IT"/>
        </w:rPr>
        <w:t>esemplificativo:</w:t>
      </w:r>
      <w:r w:rsidRPr="00903873">
        <w:rPr>
          <w:color w:val="111111"/>
          <w:spacing w:val="-9"/>
          <w:sz w:val="14"/>
          <w:szCs w:val="14"/>
          <w:lang w:val="it-IT"/>
        </w:rPr>
        <w:t xml:space="preserve"> </w:t>
      </w:r>
      <w:r w:rsidRPr="00903873">
        <w:rPr>
          <w:color w:val="111111"/>
          <w:sz w:val="14"/>
          <w:szCs w:val="14"/>
          <w:lang w:val="it-IT"/>
        </w:rPr>
        <w:t>andamento</w:t>
      </w:r>
      <w:r w:rsidRPr="00903873">
        <w:rPr>
          <w:color w:val="111111"/>
          <w:spacing w:val="-8"/>
          <w:sz w:val="14"/>
          <w:szCs w:val="14"/>
          <w:lang w:val="it-IT"/>
        </w:rPr>
        <w:t xml:space="preserve"> </w:t>
      </w:r>
      <w:r w:rsidRPr="00903873">
        <w:rPr>
          <w:color w:val="111111"/>
          <w:sz w:val="14"/>
          <w:szCs w:val="14"/>
          <w:lang w:val="it-IT"/>
        </w:rPr>
        <w:t>del</w:t>
      </w:r>
      <w:r w:rsidRPr="00903873">
        <w:rPr>
          <w:color w:val="111111"/>
          <w:spacing w:val="-9"/>
          <w:sz w:val="14"/>
          <w:szCs w:val="14"/>
          <w:lang w:val="it-IT"/>
        </w:rPr>
        <w:t xml:space="preserve"> </w:t>
      </w:r>
      <w:r w:rsidRPr="00903873">
        <w:rPr>
          <w:color w:val="111111"/>
          <w:sz w:val="14"/>
          <w:szCs w:val="14"/>
          <w:lang w:val="it-IT"/>
        </w:rPr>
        <w:t>mercato</w:t>
      </w:r>
      <w:r w:rsidRPr="00903873">
        <w:rPr>
          <w:color w:val="111111"/>
          <w:spacing w:val="-7"/>
          <w:sz w:val="14"/>
          <w:szCs w:val="14"/>
          <w:lang w:val="it-IT"/>
        </w:rPr>
        <w:t xml:space="preserve"> </w:t>
      </w:r>
      <w:r w:rsidRPr="00903873">
        <w:rPr>
          <w:color w:val="111111"/>
          <w:sz w:val="14"/>
          <w:szCs w:val="14"/>
          <w:lang w:val="it-IT"/>
        </w:rPr>
        <w:t>della</w:t>
      </w:r>
      <w:r w:rsidRPr="00903873">
        <w:rPr>
          <w:color w:val="111111"/>
          <w:spacing w:val="-9"/>
          <w:sz w:val="14"/>
          <w:szCs w:val="14"/>
          <w:lang w:val="it-IT"/>
        </w:rPr>
        <w:t xml:space="preserve"> </w:t>
      </w:r>
      <w:r w:rsidRPr="00903873">
        <w:rPr>
          <w:color w:val="111111"/>
          <w:sz w:val="14"/>
          <w:szCs w:val="14"/>
          <w:lang w:val="it-IT"/>
        </w:rPr>
        <w:t>ristorazione</w:t>
      </w:r>
      <w:r w:rsidRPr="00903873">
        <w:rPr>
          <w:color w:val="111111"/>
          <w:spacing w:val="1"/>
          <w:sz w:val="14"/>
          <w:szCs w:val="14"/>
          <w:lang w:val="it-IT"/>
        </w:rPr>
        <w:t xml:space="preserve"> </w:t>
      </w:r>
      <w:r w:rsidRPr="00903873">
        <w:rPr>
          <w:color w:val="111111"/>
          <w:sz w:val="14"/>
          <w:szCs w:val="14"/>
          <w:lang w:val="it-IT"/>
        </w:rPr>
        <w:t>fuori casa e dei flussi turistici in Italia, andamento del mercato orafo - gioielliero, andamento del mercato della green economy;</w:t>
      </w:r>
      <w:r w:rsidRPr="00903873">
        <w:rPr>
          <w:color w:val="111111"/>
          <w:spacing w:val="1"/>
          <w:sz w:val="14"/>
          <w:szCs w:val="14"/>
          <w:lang w:val="it-IT"/>
        </w:rPr>
        <w:t xml:space="preserve"> </w:t>
      </w:r>
      <w:r w:rsidRPr="00903873">
        <w:rPr>
          <w:color w:val="111111"/>
          <w:sz w:val="14"/>
          <w:szCs w:val="14"/>
          <w:lang w:val="it-IT"/>
        </w:rPr>
        <w:t>evoluzione del prezzo delle materie prime; condizioni macroeconomiche generali; fattori geopolitici ed evoluzioni del quadro</w:t>
      </w:r>
      <w:r w:rsidRPr="00903873">
        <w:rPr>
          <w:color w:val="111111"/>
          <w:spacing w:val="1"/>
          <w:sz w:val="14"/>
          <w:szCs w:val="14"/>
          <w:lang w:val="it-IT"/>
        </w:rPr>
        <w:t xml:space="preserve"> </w:t>
      </w:r>
      <w:r w:rsidRPr="00903873">
        <w:rPr>
          <w:color w:val="111111"/>
          <w:sz w:val="14"/>
          <w:szCs w:val="14"/>
          <w:lang w:val="it-IT"/>
        </w:rPr>
        <w:t>normativo.</w:t>
      </w:r>
      <w:r w:rsidRPr="00903873">
        <w:rPr>
          <w:color w:val="111111"/>
          <w:spacing w:val="-7"/>
          <w:sz w:val="14"/>
          <w:szCs w:val="14"/>
          <w:lang w:val="it-IT"/>
        </w:rPr>
        <w:t xml:space="preserve"> </w:t>
      </w:r>
      <w:r w:rsidRPr="00903873">
        <w:rPr>
          <w:color w:val="111111"/>
          <w:sz w:val="14"/>
          <w:szCs w:val="14"/>
          <w:lang w:val="it-IT"/>
        </w:rPr>
        <w:t>Le</w:t>
      </w:r>
      <w:r w:rsidRPr="00903873">
        <w:rPr>
          <w:color w:val="111111"/>
          <w:spacing w:val="-8"/>
          <w:sz w:val="14"/>
          <w:szCs w:val="14"/>
          <w:lang w:val="it-IT"/>
        </w:rPr>
        <w:t xml:space="preserve"> </w:t>
      </w:r>
      <w:r w:rsidRPr="00903873">
        <w:rPr>
          <w:color w:val="111111"/>
          <w:sz w:val="14"/>
          <w:szCs w:val="14"/>
          <w:lang w:val="it-IT"/>
        </w:rPr>
        <w:t>informazioni</w:t>
      </w:r>
      <w:r w:rsidRPr="00903873">
        <w:rPr>
          <w:color w:val="111111"/>
          <w:spacing w:val="-8"/>
          <w:sz w:val="14"/>
          <w:szCs w:val="14"/>
          <w:lang w:val="it-IT"/>
        </w:rPr>
        <w:t xml:space="preserve"> </w:t>
      </w:r>
      <w:r w:rsidRPr="00903873">
        <w:rPr>
          <w:color w:val="111111"/>
          <w:sz w:val="14"/>
          <w:szCs w:val="14"/>
          <w:lang w:val="it-IT"/>
        </w:rPr>
        <w:t>contenute</w:t>
      </w:r>
      <w:r w:rsidRPr="00903873">
        <w:rPr>
          <w:color w:val="111111"/>
          <w:spacing w:val="-6"/>
          <w:sz w:val="14"/>
          <w:szCs w:val="14"/>
          <w:lang w:val="it-IT"/>
        </w:rPr>
        <w:t xml:space="preserve"> </w:t>
      </w:r>
      <w:r w:rsidRPr="00903873">
        <w:rPr>
          <w:color w:val="111111"/>
          <w:sz w:val="14"/>
          <w:szCs w:val="14"/>
          <w:lang w:val="it-IT"/>
        </w:rPr>
        <w:t>nel</w:t>
      </w:r>
      <w:r w:rsidRPr="00903873">
        <w:rPr>
          <w:color w:val="111111"/>
          <w:spacing w:val="-8"/>
          <w:sz w:val="14"/>
          <w:szCs w:val="14"/>
          <w:lang w:val="it-IT"/>
        </w:rPr>
        <w:t xml:space="preserve"> </w:t>
      </w:r>
      <w:r w:rsidRPr="00903873">
        <w:rPr>
          <w:color w:val="111111"/>
          <w:sz w:val="14"/>
          <w:szCs w:val="14"/>
          <w:lang w:val="it-IT"/>
        </w:rPr>
        <w:t>presente</w:t>
      </w:r>
      <w:r w:rsidRPr="00903873">
        <w:rPr>
          <w:color w:val="111111"/>
          <w:spacing w:val="-6"/>
          <w:sz w:val="14"/>
          <w:szCs w:val="14"/>
          <w:lang w:val="it-IT"/>
        </w:rPr>
        <w:t xml:space="preserve"> </w:t>
      </w:r>
      <w:r w:rsidRPr="00903873">
        <w:rPr>
          <w:color w:val="111111"/>
          <w:sz w:val="14"/>
          <w:szCs w:val="14"/>
          <w:lang w:val="it-IT"/>
        </w:rPr>
        <w:t>comunicato,</w:t>
      </w:r>
      <w:r w:rsidRPr="00903873">
        <w:rPr>
          <w:color w:val="111111"/>
          <w:spacing w:val="-6"/>
          <w:sz w:val="14"/>
          <w:szCs w:val="14"/>
          <w:lang w:val="it-IT"/>
        </w:rPr>
        <w:t xml:space="preserve"> </w:t>
      </w:r>
      <w:r w:rsidRPr="00903873">
        <w:rPr>
          <w:color w:val="111111"/>
          <w:sz w:val="14"/>
          <w:szCs w:val="14"/>
          <w:lang w:val="it-IT"/>
        </w:rPr>
        <w:t>inoltre,</w:t>
      </w:r>
      <w:r w:rsidRPr="00903873">
        <w:rPr>
          <w:color w:val="111111"/>
          <w:spacing w:val="-7"/>
          <w:sz w:val="14"/>
          <w:szCs w:val="14"/>
          <w:lang w:val="it-IT"/>
        </w:rPr>
        <w:t xml:space="preserve"> </w:t>
      </w:r>
      <w:r w:rsidRPr="00903873">
        <w:rPr>
          <w:color w:val="111111"/>
          <w:sz w:val="14"/>
          <w:szCs w:val="14"/>
          <w:lang w:val="it-IT"/>
        </w:rPr>
        <w:t>non</w:t>
      </w:r>
      <w:r w:rsidRPr="00903873">
        <w:rPr>
          <w:color w:val="111111"/>
          <w:spacing w:val="-6"/>
          <w:sz w:val="14"/>
          <w:szCs w:val="14"/>
          <w:lang w:val="it-IT"/>
        </w:rPr>
        <w:t xml:space="preserve"> </w:t>
      </w:r>
      <w:r w:rsidRPr="00903873">
        <w:rPr>
          <w:color w:val="111111"/>
          <w:sz w:val="14"/>
          <w:szCs w:val="14"/>
          <w:lang w:val="it-IT"/>
        </w:rPr>
        <w:t>pretendono</w:t>
      </w:r>
      <w:r w:rsidRPr="00903873">
        <w:rPr>
          <w:color w:val="111111"/>
          <w:spacing w:val="-4"/>
          <w:sz w:val="14"/>
          <w:szCs w:val="14"/>
          <w:lang w:val="it-IT"/>
        </w:rPr>
        <w:t xml:space="preserve"> </w:t>
      </w:r>
      <w:r w:rsidRPr="00903873">
        <w:rPr>
          <w:color w:val="111111"/>
          <w:sz w:val="14"/>
          <w:szCs w:val="14"/>
          <w:lang w:val="it-IT"/>
        </w:rPr>
        <w:t>di</w:t>
      </w:r>
      <w:r w:rsidRPr="00903873">
        <w:rPr>
          <w:color w:val="111111"/>
          <w:spacing w:val="-5"/>
          <w:sz w:val="14"/>
          <w:szCs w:val="14"/>
          <w:lang w:val="it-IT"/>
        </w:rPr>
        <w:t xml:space="preserve"> </w:t>
      </w:r>
      <w:r w:rsidRPr="00903873">
        <w:rPr>
          <w:color w:val="111111"/>
          <w:sz w:val="14"/>
          <w:szCs w:val="14"/>
          <w:lang w:val="it-IT"/>
        </w:rPr>
        <w:t>essere</w:t>
      </w:r>
      <w:r w:rsidRPr="00903873">
        <w:rPr>
          <w:color w:val="111111"/>
          <w:spacing w:val="-8"/>
          <w:sz w:val="14"/>
          <w:szCs w:val="14"/>
          <w:lang w:val="it-IT"/>
        </w:rPr>
        <w:t xml:space="preserve"> </w:t>
      </w:r>
      <w:r w:rsidRPr="00903873">
        <w:rPr>
          <w:color w:val="111111"/>
          <w:sz w:val="14"/>
          <w:szCs w:val="14"/>
          <w:lang w:val="it-IT"/>
        </w:rPr>
        <w:t>complete,</w:t>
      </w:r>
      <w:r w:rsidRPr="00903873">
        <w:rPr>
          <w:color w:val="111111"/>
          <w:spacing w:val="-7"/>
          <w:sz w:val="14"/>
          <w:szCs w:val="14"/>
          <w:lang w:val="it-IT"/>
        </w:rPr>
        <w:t xml:space="preserve"> </w:t>
      </w:r>
      <w:r w:rsidRPr="00903873">
        <w:rPr>
          <w:color w:val="111111"/>
          <w:sz w:val="14"/>
          <w:szCs w:val="14"/>
          <w:lang w:val="it-IT"/>
        </w:rPr>
        <w:t>né</w:t>
      </w:r>
      <w:r w:rsidRPr="00903873">
        <w:rPr>
          <w:color w:val="111111"/>
          <w:spacing w:val="-8"/>
          <w:sz w:val="14"/>
          <w:szCs w:val="14"/>
          <w:lang w:val="it-IT"/>
        </w:rPr>
        <w:t xml:space="preserve"> </w:t>
      </w:r>
      <w:r w:rsidRPr="00903873">
        <w:rPr>
          <w:color w:val="111111"/>
          <w:sz w:val="14"/>
          <w:szCs w:val="14"/>
          <w:lang w:val="it-IT"/>
        </w:rPr>
        <w:t>sono</w:t>
      </w:r>
      <w:r w:rsidRPr="00903873">
        <w:rPr>
          <w:color w:val="111111"/>
          <w:spacing w:val="-4"/>
          <w:sz w:val="14"/>
          <w:szCs w:val="14"/>
          <w:lang w:val="it-IT"/>
        </w:rPr>
        <w:t xml:space="preserve"> </w:t>
      </w:r>
      <w:r w:rsidRPr="00903873">
        <w:rPr>
          <w:color w:val="111111"/>
          <w:sz w:val="14"/>
          <w:szCs w:val="14"/>
          <w:lang w:val="it-IT"/>
        </w:rPr>
        <w:t>state</w:t>
      </w:r>
      <w:r w:rsidRPr="00903873">
        <w:rPr>
          <w:color w:val="111111"/>
          <w:spacing w:val="-8"/>
          <w:sz w:val="14"/>
          <w:szCs w:val="14"/>
          <w:lang w:val="it-IT"/>
        </w:rPr>
        <w:t xml:space="preserve"> </w:t>
      </w:r>
      <w:r w:rsidRPr="00903873">
        <w:rPr>
          <w:color w:val="111111"/>
          <w:sz w:val="14"/>
          <w:szCs w:val="14"/>
          <w:lang w:val="it-IT"/>
        </w:rPr>
        <w:t>verificate</w:t>
      </w:r>
      <w:r w:rsidRPr="00903873">
        <w:rPr>
          <w:color w:val="111111"/>
          <w:spacing w:val="1"/>
          <w:sz w:val="14"/>
          <w:szCs w:val="14"/>
          <w:lang w:val="it-IT"/>
        </w:rPr>
        <w:t xml:space="preserve"> </w:t>
      </w:r>
      <w:r w:rsidRPr="00903873">
        <w:rPr>
          <w:color w:val="111111"/>
          <w:sz w:val="14"/>
          <w:szCs w:val="14"/>
          <w:lang w:val="it-IT"/>
        </w:rPr>
        <w:t>da</w:t>
      </w:r>
      <w:r w:rsidRPr="00903873">
        <w:rPr>
          <w:color w:val="111111"/>
          <w:spacing w:val="-9"/>
          <w:sz w:val="14"/>
          <w:szCs w:val="14"/>
          <w:lang w:val="it-IT"/>
        </w:rPr>
        <w:t xml:space="preserve"> </w:t>
      </w:r>
      <w:r w:rsidRPr="00903873">
        <w:rPr>
          <w:color w:val="111111"/>
          <w:sz w:val="14"/>
          <w:szCs w:val="14"/>
          <w:lang w:val="it-IT"/>
        </w:rPr>
        <w:t>terze</w:t>
      </w:r>
      <w:r w:rsidRPr="00903873">
        <w:rPr>
          <w:color w:val="111111"/>
          <w:spacing w:val="-7"/>
          <w:sz w:val="14"/>
          <w:szCs w:val="14"/>
          <w:lang w:val="it-IT"/>
        </w:rPr>
        <w:t xml:space="preserve"> </w:t>
      </w:r>
      <w:r w:rsidRPr="00903873">
        <w:rPr>
          <w:color w:val="111111"/>
          <w:sz w:val="14"/>
          <w:szCs w:val="14"/>
          <w:lang w:val="it-IT"/>
        </w:rPr>
        <w:t>parti</w:t>
      </w:r>
      <w:r w:rsidRPr="00903873">
        <w:rPr>
          <w:color w:val="111111"/>
          <w:spacing w:val="-8"/>
          <w:sz w:val="14"/>
          <w:szCs w:val="14"/>
          <w:lang w:val="it-IT"/>
        </w:rPr>
        <w:t xml:space="preserve"> </w:t>
      </w:r>
      <w:r w:rsidRPr="00903873">
        <w:rPr>
          <w:color w:val="111111"/>
          <w:sz w:val="14"/>
          <w:szCs w:val="14"/>
          <w:lang w:val="it-IT"/>
        </w:rPr>
        <w:t>indipendenti.</w:t>
      </w:r>
      <w:r w:rsidRPr="00903873">
        <w:rPr>
          <w:color w:val="111111"/>
          <w:spacing w:val="-9"/>
          <w:sz w:val="14"/>
          <w:szCs w:val="14"/>
          <w:lang w:val="it-IT"/>
        </w:rPr>
        <w:t xml:space="preserve"> </w:t>
      </w:r>
      <w:r w:rsidRPr="00903873">
        <w:rPr>
          <w:color w:val="111111"/>
          <w:sz w:val="14"/>
          <w:szCs w:val="14"/>
          <w:lang w:val="it-IT"/>
        </w:rPr>
        <w:t>Le</w:t>
      </w:r>
      <w:r w:rsidRPr="00903873">
        <w:rPr>
          <w:color w:val="111111"/>
          <w:spacing w:val="-8"/>
          <w:sz w:val="14"/>
          <w:szCs w:val="14"/>
          <w:lang w:val="it-IT"/>
        </w:rPr>
        <w:t xml:space="preserve"> </w:t>
      </w:r>
      <w:r w:rsidRPr="00903873">
        <w:rPr>
          <w:color w:val="111111"/>
          <w:sz w:val="14"/>
          <w:szCs w:val="14"/>
          <w:lang w:val="it-IT"/>
        </w:rPr>
        <w:t>proiezioni,</w:t>
      </w:r>
      <w:r w:rsidRPr="00903873">
        <w:rPr>
          <w:color w:val="111111"/>
          <w:spacing w:val="-9"/>
          <w:sz w:val="14"/>
          <w:szCs w:val="14"/>
          <w:lang w:val="it-IT"/>
        </w:rPr>
        <w:t xml:space="preserve"> </w:t>
      </w:r>
      <w:r w:rsidRPr="00903873">
        <w:rPr>
          <w:color w:val="111111"/>
          <w:sz w:val="14"/>
          <w:szCs w:val="14"/>
          <w:lang w:val="it-IT"/>
        </w:rPr>
        <w:t>le</w:t>
      </w:r>
      <w:r w:rsidRPr="00903873">
        <w:rPr>
          <w:color w:val="111111"/>
          <w:spacing w:val="-10"/>
          <w:sz w:val="14"/>
          <w:szCs w:val="14"/>
          <w:lang w:val="it-IT"/>
        </w:rPr>
        <w:t xml:space="preserve"> </w:t>
      </w:r>
      <w:r w:rsidRPr="00903873">
        <w:rPr>
          <w:color w:val="111111"/>
          <w:sz w:val="14"/>
          <w:szCs w:val="14"/>
          <w:lang w:val="it-IT"/>
        </w:rPr>
        <w:t>stime</w:t>
      </w:r>
      <w:r w:rsidRPr="00903873">
        <w:rPr>
          <w:color w:val="111111"/>
          <w:spacing w:val="-9"/>
          <w:sz w:val="14"/>
          <w:szCs w:val="14"/>
          <w:lang w:val="it-IT"/>
        </w:rPr>
        <w:t xml:space="preserve"> </w:t>
      </w:r>
      <w:r w:rsidRPr="00903873">
        <w:rPr>
          <w:color w:val="111111"/>
          <w:sz w:val="14"/>
          <w:szCs w:val="14"/>
          <w:lang w:val="it-IT"/>
        </w:rPr>
        <w:t>e</w:t>
      </w:r>
      <w:r w:rsidRPr="00903873">
        <w:rPr>
          <w:color w:val="111111"/>
          <w:spacing w:val="-8"/>
          <w:sz w:val="14"/>
          <w:szCs w:val="14"/>
          <w:lang w:val="it-IT"/>
        </w:rPr>
        <w:t xml:space="preserve"> </w:t>
      </w:r>
      <w:r w:rsidRPr="00903873">
        <w:rPr>
          <w:color w:val="111111"/>
          <w:sz w:val="14"/>
          <w:szCs w:val="14"/>
          <w:lang w:val="it-IT"/>
        </w:rPr>
        <w:t>gli</w:t>
      </w:r>
      <w:r w:rsidRPr="00903873">
        <w:rPr>
          <w:color w:val="111111"/>
          <w:spacing w:val="-10"/>
          <w:sz w:val="14"/>
          <w:szCs w:val="14"/>
          <w:lang w:val="it-IT"/>
        </w:rPr>
        <w:t xml:space="preserve"> </w:t>
      </w:r>
      <w:r w:rsidRPr="00903873">
        <w:rPr>
          <w:color w:val="111111"/>
          <w:sz w:val="14"/>
          <w:szCs w:val="14"/>
          <w:lang w:val="it-IT"/>
        </w:rPr>
        <w:t>obiettivi</w:t>
      </w:r>
      <w:r w:rsidRPr="00903873">
        <w:rPr>
          <w:color w:val="111111"/>
          <w:spacing w:val="-7"/>
          <w:sz w:val="14"/>
          <w:szCs w:val="14"/>
          <w:lang w:val="it-IT"/>
        </w:rPr>
        <w:t xml:space="preserve"> </w:t>
      </w:r>
      <w:r w:rsidRPr="00903873">
        <w:rPr>
          <w:color w:val="111111"/>
          <w:sz w:val="14"/>
          <w:szCs w:val="14"/>
          <w:lang w:val="it-IT"/>
        </w:rPr>
        <w:t>qui</w:t>
      </w:r>
      <w:r w:rsidRPr="00903873">
        <w:rPr>
          <w:color w:val="111111"/>
          <w:spacing w:val="-8"/>
          <w:sz w:val="14"/>
          <w:szCs w:val="14"/>
          <w:lang w:val="it-IT"/>
        </w:rPr>
        <w:t xml:space="preserve"> </w:t>
      </w:r>
      <w:r w:rsidRPr="00903873">
        <w:rPr>
          <w:color w:val="111111"/>
          <w:sz w:val="14"/>
          <w:szCs w:val="14"/>
          <w:lang w:val="it-IT"/>
        </w:rPr>
        <w:t>presentati</w:t>
      </w:r>
      <w:r w:rsidRPr="00903873">
        <w:rPr>
          <w:color w:val="111111"/>
          <w:spacing w:val="-10"/>
          <w:sz w:val="14"/>
          <w:szCs w:val="14"/>
          <w:lang w:val="it-IT"/>
        </w:rPr>
        <w:t xml:space="preserve"> </w:t>
      </w:r>
      <w:r w:rsidRPr="00903873">
        <w:rPr>
          <w:color w:val="111111"/>
          <w:sz w:val="14"/>
          <w:szCs w:val="14"/>
          <w:lang w:val="it-IT"/>
        </w:rPr>
        <w:t>si</w:t>
      </w:r>
      <w:r w:rsidRPr="00903873">
        <w:rPr>
          <w:color w:val="111111"/>
          <w:spacing w:val="-8"/>
          <w:sz w:val="14"/>
          <w:szCs w:val="14"/>
          <w:lang w:val="it-IT"/>
        </w:rPr>
        <w:t xml:space="preserve"> </w:t>
      </w:r>
      <w:r w:rsidRPr="00903873">
        <w:rPr>
          <w:color w:val="111111"/>
          <w:sz w:val="14"/>
          <w:szCs w:val="14"/>
          <w:lang w:val="it-IT"/>
        </w:rPr>
        <w:t>basano</w:t>
      </w:r>
      <w:r w:rsidRPr="00903873">
        <w:rPr>
          <w:color w:val="111111"/>
          <w:spacing w:val="-6"/>
          <w:sz w:val="14"/>
          <w:szCs w:val="14"/>
          <w:lang w:val="it-IT"/>
        </w:rPr>
        <w:t xml:space="preserve"> </w:t>
      </w:r>
      <w:r w:rsidRPr="00903873">
        <w:rPr>
          <w:color w:val="111111"/>
          <w:sz w:val="14"/>
          <w:szCs w:val="14"/>
          <w:lang w:val="it-IT"/>
        </w:rPr>
        <w:t>sulle</w:t>
      </w:r>
      <w:r w:rsidRPr="00903873">
        <w:rPr>
          <w:color w:val="111111"/>
          <w:spacing w:val="-9"/>
          <w:sz w:val="14"/>
          <w:szCs w:val="14"/>
          <w:lang w:val="it-IT"/>
        </w:rPr>
        <w:t xml:space="preserve"> </w:t>
      </w:r>
      <w:r w:rsidRPr="00903873">
        <w:rPr>
          <w:color w:val="111111"/>
          <w:sz w:val="14"/>
          <w:szCs w:val="14"/>
          <w:lang w:val="it-IT"/>
        </w:rPr>
        <w:t>informazioni</w:t>
      </w:r>
      <w:r w:rsidRPr="00903873">
        <w:rPr>
          <w:color w:val="111111"/>
          <w:spacing w:val="-10"/>
          <w:sz w:val="14"/>
          <w:szCs w:val="14"/>
          <w:lang w:val="it-IT"/>
        </w:rPr>
        <w:t xml:space="preserve"> </w:t>
      </w:r>
      <w:r w:rsidRPr="00903873">
        <w:rPr>
          <w:color w:val="111111"/>
          <w:sz w:val="14"/>
          <w:szCs w:val="14"/>
          <w:lang w:val="it-IT"/>
        </w:rPr>
        <w:t>a</w:t>
      </w:r>
      <w:r w:rsidRPr="00903873">
        <w:rPr>
          <w:color w:val="111111"/>
          <w:spacing w:val="-9"/>
          <w:sz w:val="14"/>
          <w:szCs w:val="14"/>
          <w:lang w:val="it-IT"/>
        </w:rPr>
        <w:t xml:space="preserve"> </w:t>
      </w:r>
      <w:r w:rsidRPr="00903873">
        <w:rPr>
          <w:color w:val="111111"/>
          <w:sz w:val="14"/>
          <w:szCs w:val="14"/>
          <w:lang w:val="it-IT"/>
        </w:rPr>
        <w:t>disposizione</w:t>
      </w:r>
      <w:r w:rsidRPr="00903873">
        <w:rPr>
          <w:color w:val="111111"/>
          <w:spacing w:val="-9"/>
          <w:sz w:val="14"/>
          <w:szCs w:val="14"/>
          <w:lang w:val="it-IT"/>
        </w:rPr>
        <w:t xml:space="preserve"> </w:t>
      </w:r>
      <w:r w:rsidRPr="00903873">
        <w:rPr>
          <w:color w:val="111111"/>
          <w:sz w:val="14"/>
          <w:szCs w:val="14"/>
          <w:lang w:val="it-IT"/>
        </w:rPr>
        <w:t>della</w:t>
      </w:r>
      <w:r w:rsidRPr="00903873">
        <w:rPr>
          <w:color w:val="111111"/>
          <w:spacing w:val="-7"/>
          <w:sz w:val="14"/>
          <w:szCs w:val="14"/>
          <w:lang w:val="it-IT"/>
        </w:rPr>
        <w:t xml:space="preserve"> </w:t>
      </w:r>
      <w:r w:rsidRPr="00903873">
        <w:rPr>
          <w:color w:val="111111"/>
          <w:sz w:val="14"/>
          <w:szCs w:val="14"/>
          <w:lang w:val="it-IT"/>
        </w:rPr>
        <w:t>Società</w:t>
      </w:r>
      <w:r w:rsidRPr="00903873">
        <w:rPr>
          <w:color w:val="111111"/>
          <w:spacing w:val="1"/>
          <w:sz w:val="14"/>
          <w:szCs w:val="14"/>
          <w:lang w:val="it-IT"/>
        </w:rPr>
        <w:t xml:space="preserve"> </w:t>
      </w:r>
      <w:r w:rsidRPr="00903873">
        <w:rPr>
          <w:color w:val="111111"/>
          <w:sz w:val="14"/>
          <w:szCs w:val="14"/>
          <w:lang w:val="it-IT"/>
        </w:rPr>
        <w:t>alla</w:t>
      </w:r>
      <w:r w:rsidRPr="00903873">
        <w:rPr>
          <w:color w:val="111111"/>
          <w:spacing w:val="-2"/>
          <w:sz w:val="14"/>
          <w:szCs w:val="14"/>
          <w:lang w:val="it-IT"/>
        </w:rPr>
        <w:t xml:space="preserve"> </w:t>
      </w:r>
      <w:r w:rsidRPr="00903873">
        <w:rPr>
          <w:color w:val="111111"/>
          <w:sz w:val="14"/>
          <w:szCs w:val="14"/>
          <w:lang w:val="it-IT"/>
        </w:rPr>
        <w:t>data</w:t>
      </w:r>
      <w:r w:rsidRPr="00903873">
        <w:rPr>
          <w:color w:val="111111"/>
          <w:spacing w:val="-1"/>
          <w:sz w:val="14"/>
          <w:szCs w:val="14"/>
          <w:lang w:val="it-IT"/>
        </w:rPr>
        <w:t xml:space="preserve"> </w:t>
      </w:r>
      <w:r w:rsidRPr="00903873">
        <w:rPr>
          <w:color w:val="111111"/>
          <w:sz w:val="14"/>
          <w:szCs w:val="14"/>
          <w:lang w:val="it-IT"/>
        </w:rPr>
        <w:t>del</w:t>
      </w:r>
      <w:r w:rsidRPr="00903873">
        <w:rPr>
          <w:color w:val="111111"/>
          <w:spacing w:val="-1"/>
          <w:sz w:val="14"/>
          <w:szCs w:val="14"/>
          <w:lang w:val="it-IT"/>
        </w:rPr>
        <w:t xml:space="preserve"> </w:t>
      </w:r>
      <w:r w:rsidRPr="00903873">
        <w:rPr>
          <w:color w:val="111111"/>
          <w:sz w:val="14"/>
          <w:szCs w:val="14"/>
          <w:lang w:val="it-IT"/>
        </w:rPr>
        <w:t>presente</w:t>
      </w:r>
      <w:r w:rsidRPr="00903873">
        <w:rPr>
          <w:color w:val="111111"/>
          <w:spacing w:val="-2"/>
          <w:sz w:val="14"/>
          <w:szCs w:val="14"/>
          <w:lang w:val="it-IT"/>
        </w:rPr>
        <w:t xml:space="preserve"> </w:t>
      </w:r>
      <w:r w:rsidRPr="00903873">
        <w:rPr>
          <w:color w:val="111111"/>
          <w:sz w:val="14"/>
          <w:szCs w:val="14"/>
          <w:lang w:val="it-IT"/>
        </w:rPr>
        <w:t>comunicato</w:t>
      </w:r>
    </w:p>
    <w:p w14:paraId="620451E1" w14:textId="77777777" w:rsidR="00981E5D" w:rsidRPr="00903873" w:rsidRDefault="00981E5D" w:rsidP="00F17A7D">
      <w:pPr>
        <w:rPr>
          <w:lang w:val="it-IT"/>
        </w:rPr>
      </w:pPr>
    </w:p>
    <w:sectPr w:rsidR="00981E5D" w:rsidRPr="00903873">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65E8" w14:textId="77777777" w:rsidR="00273515" w:rsidRDefault="00273515" w:rsidP="00B111F9">
      <w:r>
        <w:separator/>
      </w:r>
    </w:p>
  </w:endnote>
  <w:endnote w:type="continuationSeparator" w:id="0">
    <w:p w14:paraId="3733A759" w14:textId="77777777" w:rsidR="00273515" w:rsidRDefault="00273515" w:rsidP="00B1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7CB1" w14:textId="77777777" w:rsidR="00273515" w:rsidRDefault="00273515" w:rsidP="00B111F9">
      <w:r>
        <w:separator/>
      </w:r>
    </w:p>
  </w:footnote>
  <w:footnote w:type="continuationSeparator" w:id="0">
    <w:p w14:paraId="6372A89B" w14:textId="77777777" w:rsidR="00273515" w:rsidRDefault="00273515" w:rsidP="00B1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383C" w14:textId="1FC8C632" w:rsidR="004B2C86" w:rsidRDefault="004B2C86">
    <w:pPr>
      <w:pStyle w:val="Intestazione"/>
    </w:pPr>
    <w:r>
      <w:rPr>
        <w:i/>
        <w:iCs/>
        <w:noProof/>
        <w14:ligatures w14:val="standardContextual"/>
      </w:rPr>
      <w:drawing>
        <wp:inline distT="0" distB="0" distL="0" distR="0" wp14:anchorId="746827CE" wp14:editId="1DCF33F0">
          <wp:extent cx="6120130" cy="732790"/>
          <wp:effectExtent l="0" t="0" r="0" b="0"/>
          <wp:docPr id="19175657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65743" name="Immagine 1917565743"/>
                  <pic:cNvPicPr/>
                </pic:nvPicPr>
                <pic:blipFill>
                  <a:blip r:embed="rId1">
                    <a:extLst>
                      <a:ext uri="{28A0092B-C50C-407E-A947-70E740481C1C}">
                        <a14:useLocalDpi xmlns:a14="http://schemas.microsoft.com/office/drawing/2010/main" val="0"/>
                      </a:ext>
                    </a:extLst>
                  </a:blip>
                  <a:stretch>
                    <a:fillRect/>
                  </a:stretch>
                </pic:blipFill>
                <pic:spPr>
                  <a:xfrm>
                    <a:off x="0" y="0"/>
                    <a:ext cx="6120130" cy="732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5C3"/>
    <w:multiLevelType w:val="hybridMultilevel"/>
    <w:tmpl w:val="9D9A90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A69526F"/>
    <w:multiLevelType w:val="hybridMultilevel"/>
    <w:tmpl w:val="658E92E4"/>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1D044C73"/>
    <w:multiLevelType w:val="multilevel"/>
    <w:tmpl w:val="1C4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D35D8B"/>
    <w:multiLevelType w:val="multilevel"/>
    <w:tmpl w:val="D4EC1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773D22"/>
    <w:multiLevelType w:val="hybridMultilevel"/>
    <w:tmpl w:val="16AE9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3B3EF4"/>
    <w:multiLevelType w:val="hybridMultilevel"/>
    <w:tmpl w:val="A182A184"/>
    <w:lvl w:ilvl="0" w:tplc="D5B07734">
      <w:start w:val="5"/>
      <w:numFmt w:val="bullet"/>
      <w:lvlText w:val=""/>
      <w:lvlJc w:val="left"/>
      <w:pPr>
        <w:ind w:left="720" w:hanging="360"/>
      </w:pPr>
      <w:rPr>
        <w:rFonts w:ascii="Symbol" w:eastAsia="Calibri"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92497547">
    <w:abstractNumId w:val="5"/>
  </w:num>
  <w:num w:numId="2" w16cid:durableId="482237906">
    <w:abstractNumId w:val="1"/>
  </w:num>
  <w:num w:numId="3" w16cid:durableId="983661284">
    <w:abstractNumId w:val="5"/>
  </w:num>
  <w:num w:numId="4" w16cid:durableId="1238591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125490">
    <w:abstractNumId w:val="0"/>
  </w:num>
  <w:num w:numId="6" w16cid:durableId="1028799690">
    <w:abstractNumId w:val="4"/>
  </w:num>
  <w:num w:numId="7" w16cid:durableId="120181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71"/>
    <w:rsid w:val="0000120C"/>
    <w:rsid w:val="0001177A"/>
    <w:rsid w:val="00011BA8"/>
    <w:rsid w:val="0001502B"/>
    <w:rsid w:val="00015EAB"/>
    <w:rsid w:val="00035B7B"/>
    <w:rsid w:val="00041676"/>
    <w:rsid w:val="000473B5"/>
    <w:rsid w:val="000515A4"/>
    <w:rsid w:val="000522FF"/>
    <w:rsid w:val="00060CFF"/>
    <w:rsid w:val="0006463B"/>
    <w:rsid w:val="00066072"/>
    <w:rsid w:val="000865DC"/>
    <w:rsid w:val="00094AB5"/>
    <w:rsid w:val="000B7299"/>
    <w:rsid w:val="000C15C0"/>
    <w:rsid w:val="000C3D06"/>
    <w:rsid w:val="000D325A"/>
    <w:rsid w:val="000E12CB"/>
    <w:rsid w:val="000E26D2"/>
    <w:rsid w:val="000E4BAB"/>
    <w:rsid w:val="000F36B5"/>
    <w:rsid w:val="000F7184"/>
    <w:rsid w:val="00115A50"/>
    <w:rsid w:val="00133F78"/>
    <w:rsid w:val="00151B42"/>
    <w:rsid w:val="0015314C"/>
    <w:rsid w:val="0016165F"/>
    <w:rsid w:val="0018193E"/>
    <w:rsid w:val="00187B2F"/>
    <w:rsid w:val="001A6221"/>
    <w:rsid w:val="001B7BFA"/>
    <w:rsid w:val="001C785E"/>
    <w:rsid w:val="001D15F4"/>
    <w:rsid w:val="001D1A1E"/>
    <w:rsid w:val="001D631E"/>
    <w:rsid w:val="001F1C48"/>
    <w:rsid w:val="001F40B6"/>
    <w:rsid w:val="001F6636"/>
    <w:rsid w:val="001F75C2"/>
    <w:rsid w:val="00204570"/>
    <w:rsid w:val="00205CFE"/>
    <w:rsid w:val="002063FF"/>
    <w:rsid w:val="00210D4F"/>
    <w:rsid w:val="00213C33"/>
    <w:rsid w:val="002169CF"/>
    <w:rsid w:val="002169F9"/>
    <w:rsid w:val="0021795B"/>
    <w:rsid w:val="00235656"/>
    <w:rsid w:val="00235B11"/>
    <w:rsid w:val="0024220C"/>
    <w:rsid w:val="00247F8F"/>
    <w:rsid w:val="00250F83"/>
    <w:rsid w:val="00252FF8"/>
    <w:rsid w:val="00256412"/>
    <w:rsid w:val="00262A30"/>
    <w:rsid w:val="00272DB3"/>
    <w:rsid w:val="00273515"/>
    <w:rsid w:val="00274136"/>
    <w:rsid w:val="002765D7"/>
    <w:rsid w:val="00277415"/>
    <w:rsid w:val="00291ECC"/>
    <w:rsid w:val="002E2DEF"/>
    <w:rsid w:val="002E5CFC"/>
    <w:rsid w:val="003121E7"/>
    <w:rsid w:val="00322A2F"/>
    <w:rsid w:val="003248EF"/>
    <w:rsid w:val="00330F26"/>
    <w:rsid w:val="00333D55"/>
    <w:rsid w:val="003544F3"/>
    <w:rsid w:val="00356AEA"/>
    <w:rsid w:val="003729B7"/>
    <w:rsid w:val="00377000"/>
    <w:rsid w:val="003936F5"/>
    <w:rsid w:val="00397E31"/>
    <w:rsid w:val="003A6722"/>
    <w:rsid w:val="003B23AC"/>
    <w:rsid w:val="003B725C"/>
    <w:rsid w:val="003C7243"/>
    <w:rsid w:val="003D13C6"/>
    <w:rsid w:val="003D7D20"/>
    <w:rsid w:val="003E0A34"/>
    <w:rsid w:val="003E36B4"/>
    <w:rsid w:val="003F04DD"/>
    <w:rsid w:val="0040322B"/>
    <w:rsid w:val="004070AB"/>
    <w:rsid w:val="004252C7"/>
    <w:rsid w:val="004311E7"/>
    <w:rsid w:val="00431554"/>
    <w:rsid w:val="0043312E"/>
    <w:rsid w:val="00433B31"/>
    <w:rsid w:val="004355E3"/>
    <w:rsid w:val="00440E28"/>
    <w:rsid w:val="0044507B"/>
    <w:rsid w:val="0046008E"/>
    <w:rsid w:val="00465B6A"/>
    <w:rsid w:val="00490955"/>
    <w:rsid w:val="004A752E"/>
    <w:rsid w:val="004A7C94"/>
    <w:rsid w:val="004B2C86"/>
    <w:rsid w:val="004C5975"/>
    <w:rsid w:val="004C7AB8"/>
    <w:rsid w:val="004E080F"/>
    <w:rsid w:val="004F1886"/>
    <w:rsid w:val="004F3D17"/>
    <w:rsid w:val="004F6E2A"/>
    <w:rsid w:val="005201C1"/>
    <w:rsid w:val="005302EE"/>
    <w:rsid w:val="00530542"/>
    <w:rsid w:val="0053095B"/>
    <w:rsid w:val="0056493D"/>
    <w:rsid w:val="005718A1"/>
    <w:rsid w:val="00572792"/>
    <w:rsid w:val="00577344"/>
    <w:rsid w:val="00586833"/>
    <w:rsid w:val="005A19EB"/>
    <w:rsid w:val="005A2BC6"/>
    <w:rsid w:val="005A3803"/>
    <w:rsid w:val="005A6AB8"/>
    <w:rsid w:val="005A6F4B"/>
    <w:rsid w:val="005B4AAF"/>
    <w:rsid w:val="005B4D43"/>
    <w:rsid w:val="005B6DD5"/>
    <w:rsid w:val="005C4A39"/>
    <w:rsid w:val="005C4C6D"/>
    <w:rsid w:val="005C516C"/>
    <w:rsid w:val="005F3BBF"/>
    <w:rsid w:val="0061371B"/>
    <w:rsid w:val="006313AB"/>
    <w:rsid w:val="00637ADE"/>
    <w:rsid w:val="00643DDC"/>
    <w:rsid w:val="006516F5"/>
    <w:rsid w:val="00652FBD"/>
    <w:rsid w:val="00657F5E"/>
    <w:rsid w:val="00663A15"/>
    <w:rsid w:val="006718BB"/>
    <w:rsid w:val="006A20F7"/>
    <w:rsid w:val="006B50D0"/>
    <w:rsid w:val="006C6573"/>
    <w:rsid w:val="006D4AAB"/>
    <w:rsid w:val="006F46AF"/>
    <w:rsid w:val="006F5F73"/>
    <w:rsid w:val="0070505D"/>
    <w:rsid w:val="00711B73"/>
    <w:rsid w:val="0071490D"/>
    <w:rsid w:val="00731563"/>
    <w:rsid w:val="007336F8"/>
    <w:rsid w:val="00733DA2"/>
    <w:rsid w:val="0074507E"/>
    <w:rsid w:val="007452E1"/>
    <w:rsid w:val="00745308"/>
    <w:rsid w:val="0075492F"/>
    <w:rsid w:val="007559EE"/>
    <w:rsid w:val="00761B25"/>
    <w:rsid w:val="007740D3"/>
    <w:rsid w:val="00774110"/>
    <w:rsid w:val="0078301D"/>
    <w:rsid w:val="00786D8F"/>
    <w:rsid w:val="00795FAA"/>
    <w:rsid w:val="007C0D0C"/>
    <w:rsid w:val="00803495"/>
    <w:rsid w:val="00805041"/>
    <w:rsid w:val="00812C43"/>
    <w:rsid w:val="00822086"/>
    <w:rsid w:val="008414E5"/>
    <w:rsid w:val="00861569"/>
    <w:rsid w:val="00870B33"/>
    <w:rsid w:val="00871104"/>
    <w:rsid w:val="00872854"/>
    <w:rsid w:val="00874C2C"/>
    <w:rsid w:val="008809AA"/>
    <w:rsid w:val="00894032"/>
    <w:rsid w:val="008B2975"/>
    <w:rsid w:val="008B67CF"/>
    <w:rsid w:val="008B6DF3"/>
    <w:rsid w:val="008C250B"/>
    <w:rsid w:val="008C587B"/>
    <w:rsid w:val="008C7971"/>
    <w:rsid w:val="008D0931"/>
    <w:rsid w:val="008E0ECE"/>
    <w:rsid w:val="008E3657"/>
    <w:rsid w:val="009035A1"/>
    <w:rsid w:val="00903873"/>
    <w:rsid w:val="00906824"/>
    <w:rsid w:val="009300DE"/>
    <w:rsid w:val="009337CD"/>
    <w:rsid w:val="00941C15"/>
    <w:rsid w:val="00955B02"/>
    <w:rsid w:val="00970362"/>
    <w:rsid w:val="00974707"/>
    <w:rsid w:val="00977EBD"/>
    <w:rsid w:val="00981E5D"/>
    <w:rsid w:val="009971D1"/>
    <w:rsid w:val="009A21A0"/>
    <w:rsid w:val="009B3584"/>
    <w:rsid w:val="009B5F1C"/>
    <w:rsid w:val="009C34E5"/>
    <w:rsid w:val="009C4A09"/>
    <w:rsid w:val="009E20AC"/>
    <w:rsid w:val="00A07B05"/>
    <w:rsid w:val="00A15EA0"/>
    <w:rsid w:val="00A21FF8"/>
    <w:rsid w:val="00A31830"/>
    <w:rsid w:val="00A40E85"/>
    <w:rsid w:val="00A4699B"/>
    <w:rsid w:val="00A730FE"/>
    <w:rsid w:val="00A77AEE"/>
    <w:rsid w:val="00A77EEF"/>
    <w:rsid w:val="00AA2855"/>
    <w:rsid w:val="00AC3966"/>
    <w:rsid w:val="00AD3944"/>
    <w:rsid w:val="00AD39D0"/>
    <w:rsid w:val="00AD4F0B"/>
    <w:rsid w:val="00B06316"/>
    <w:rsid w:val="00B111F9"/>
    <w:rsid w:val="00B13E80"/>
    <w:rsid w:val="00B2127F"/>
    <w:rsid w:val="00B22E8F"/>
    <w:rsid w:val="00B2484C"/>
    <w:rsid w:val="00B259D5"/>
    <w:rsid w:val="00B30898"/>
    <w:rsid w:val="00B33C55"/>
    <w:rsid w:val="00B41871"/>
    <w:rsid w:val="00B4228E"/>
    <w:rsid w:val="00B43EA5"/>
    <w:rsid w:val="00B511CD"/>
    <w:rsid w:val="00B541D7"/>
    <w:rsid w:val="00B677A8"/>
    <w:rsid w:val="00B700A9"/>
    <w:rsid w:val="00B74816"/>
    <w:rsid w:val="00B85A93"/>
    <w:rsid w:val="00B94571"/>
    <w:rsid w:val="00B946D4"/>
    <w:rsid w:val="00BA62BA"/>
    <w:rsid w:val="00BC138F"/>
    <w:rsid w:val="00BE2FC1"/>
    <w:rsid w:val="00BF5A48"/>
    <w:rsid w:val="00BF7C5F"/>
    <w:rsid w:val="00C04D02"/>
    <w:rsid w:val="00C066AC"/>
    <w:rsid w:val="00C076BA"/>
    <w:rsid w:val="00C10570"/>
    <w:rsid w:val="00C33174"/>
    <w:rsid w:val="00C36B4A"/>
    <w:rsid w:val="00C40AFC"/>
    <w:rsid w:val="00C45DB0"/>
    <w:rsid w:val="00C4617D"/>
    <w:rsid w:val="00C47F73"/>
    <w:rsid w:val="00C62D91"/>
    <w:rsid w:val="00CB06A5"/>
    <w:rsid w:val="00CE3B37"/>
    <w:rsid w:val="00CE5EA9"/>
    <w:rsid w:val="00CF609A"/>
    <w:rsid w:val="00D07AE2"/>
    <w:rsid w:val="00D243BF"/>
    <w:rsid w:val="00D26DC8"/>
    <w:rsid w:val="00D3493C"/>
    <w:rsid w:val="00D368DD"/>
    <w:rsid w:val="00D3775A"/>
    <w:rsid w:val="00D378A1"/>
    <w:rsid w:val="00D744DD"/>
    <w:rsid w:val="00D76B0F"/>
    <w:rsid w:val="00D80DD4"/>
    <w:rsid w:val="00D8112A"/>
    <w:rsid w:val="00D82D88"/>
    <w:rsid w:val="00D835E7"/>
    <w:rsid w:val="00DA6E74"/>
    <w:rsid w:val="00DB207F"/>
    <w:rsid w:val="00DB4ECB"/>
    <w:rsid w:val="00DE1A71"/>
    <w:rsid w:val="00DF022E"/>
    <w:rsid w:val="00DF0F29"/>
    <w:rsid w:val="00E10FE5"/>
    <w:rsid w:val="00E30F85"/>
    <w:rsid w:val="00E33E47"/>
    <w:rsid w:val="00E4576E"/>
    <w:rsid w:val="00E530EE"/>
    <w:rsid w:val="00E55DF4"/>
    <w:rsid w:val="00E62633"/>
    <w:rsid w:val="00E659FA"/>
    <w:rsid w:val="00E74992"/>
    <w:rsid w:val="00E9660B"/>
    <w:rsid w:val="00EB0B49"/>
    <w:rsid w:val="00EB7786"/>
    <w:rsid w:val="00EC07C2"/>
    <w:rsid w:val="00EC0906"/>
    <w:rsid w:val="00EC69CA"/>
    <w:rsid w:val="00ED2538"/>
    <w:rsid w:val="00ED5FEB"/>
    <w:rsid w:val="00ED7771"/>
    <w:rsid w:val="00EE44C8"/>
    <w:rsid w:val="00EF44BF"/>
    <w:rsid w:val="00F02176"/>
    <w:rsid w:val="00F100EA"/>
    <w:rsid w:val="00F10D87"/>
    <w:rsid w:val="00F1383A"/>
    <w:rsid w:val="00F17A7D"/>
    <w:rsid w:val="00F32713"/>
    <w:rsid w:val="00F331EE"/>
    <w:rsid w:val="00F442AF"/>
    <w:rsid w:val="00F714FB"/>
    <w:rsid w:val="00F752EB"/>
    <w:rsid w:val="00F816E9"/>
    <w:rsid w:val="00F81921"/>
    <w:rsid w:val="00F826D2"/>
    <w:rsid w:val="00F87109"/>
    <w:rsid w:val="00F95529"/>
    <w:rsid w:val="00F96E3D"/>
    <w:rsid w:val="00FA57CE"/>
    <w:rsid w:val="00FB073D"/>
    <w:rsid w:val="00FC477D"/>
    <w:rsid w:val="00FE64CC"/>
    <w:rsid w:val="00FF1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31E0"/>
  <w15:chartTrackingRefBased/>
  <w15:docId w15:val="{EA6F4FAE-ED6F-41C4-BA9D-920C23F1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1A71"/>
    <w:pPr>
      <w:spacing w:after="0" w:line="240" w:lineRule="auto"/>
    </w:pPr>
    <w:rPr>
      <w:rFonts w:ascii="Calibri" w:hAnsi="Calibri" w:cs="Calibri"/>
      <w:kern w:val="0"/>
      <w:lang w:val="en-GB"/>
      <w14:ligatures w14:val="none"/>
    </w:rPr>
  </w:style>
  <w:style w:type="paragraph" w:styleId="Titolo1">
    <w:name w:val="heading 1"/>
    <w:basedOn w:val="Normale"/>
    <w:next w:val="Normale"/>
    <w:link w:val="Titolo1Carattere"/>
    <w:uiPriority w:val="9"/>
    <w:qFormat/>
    <w:rsid w:val="00DE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1A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1A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1A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1A7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1A7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1A7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1A7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1A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1A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1A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1A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1A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1A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1A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1A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1A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1A7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1A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1A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1A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1A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1A71"/>
    <w:rPr>
      <w:i/>
      <w:iCs/>
      <w:color w:val="404040" w:themeColor="text1" w:themeTint="BF"/>
    </w:rPr>
  </w:style>
  <w:style w:type="paragraph" w:styleId="Paragrafoelenco">
    <w:name w:val="List Paragraph"/>
    <w:basedOn w:val="Normale"/>
    <w:uiPriority w:val="34"/>
    <w:qFormat/>
    <w:rsid w:val="00DE1A71"/>
    <w:pPr>
      <w:ind w:left="720"/>
      <w:contextualSpacing/>
    </w:pPr>
  </w:style>
  <w:style w:type="character" w:styleId="Enfasiintensa">
    <w:name w:val="Intense Emphasis"/>
    <w:basedOn w:val="Carpredefinitoparagrafo"/>
    <w:uiPriority w:val="21"/>
    <w:qFormat/>
    <w:rsid w:val="00DE1A71"/>
    <w:rPr>
      <w:i/>
      <w:iCs/>
      <w:color w:val="0F4761" w:themeColor="accent1" w:themeShade="BF"/>
    </w:rPr>
  </w:style>
  <w:style w:type="paragraph" w:styleId="Citazioneintensa">
    <w:name w:val="Intense Quote"/>
    <w:basedOn w:val="Normale"/>
    <w:next w:val="Normale"/>
    <w:link w:val="CitazioneintensaCarattere"/>
    <w:uiPriority w:val="30"/>
    <w:qFormat/>
    <w:rsid w:val="00DE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1A71"/>
    <w:rPr>
      <w:i/>
      <w:iCs/>
      <w:color w:val="0F4761" w:themeColor="accent1" w:themeShade="BF"/>
    </w:rPr>
  </w:style>
  <w:style w:type="character" w:styleId="Riferimentointenso">
    <w:name w:val="Intense Reference"/>
    <w:basedOn w:val="Carpredefinitoparagrafo"/>
    <w:uiPriority w:val="32"/>
    <w:qFormat/>
    <w:rsid w:val="00DE1A71"/>
    <w:rPr>
      <w:b/>
      <w:bCs/>
      <w:smallCaps/>
      <w:color w:val="0F4761" w:themeColor="accent1" w:themeShade="BF"/>
      <w:spacing w:val="5"/>
    </w:rPr>
  </w:style>
  <w:style w:type="paragraph" w:styleId="Intestazione">
    <w:name w:val="header"/>
    <w:basedOn w:val="Normale"/>
    <w:link w:val="IntestazioneCarattere"/>
    <w:uiPriority w:val="99"/>
    <w:unhideWhenUsed/>
    <w:rsid w:val="00B111F9"/>
    <w:pPr>
      <w:tabs>
        <w:tab w:val="center" w:pos="4819"/>
        <w:tab w:val="right" w:pos="9638"/>
      </w:tabs>
    </w:pPr>
  </w:style>
  <w:style w:type="character" w:customStyle="1" w:styleId="IntestazioneCarattere">
    <w:name w:val="Intestazione Carattere"/>
    <w:basedOn w:val="Carpredefinitoparagrafo"/>
    <w:link w:val="Intestazione"/>
    <w:uiPriority w:val="99"/>
    <w:rsid w:val="00B111F9"/>
    <w:rPr>
      <w:rFonts w:ascii="Calibri" w:hAnsi="Calibri" w:cs="Calibri"/>
      <w:kern w:val="0"/>
      <w14:ligatures w14:val="none"/>
    </w:rPr>
  </w:style>
  <w:style w:type="paragraph" w:styleId="Pidipagina">
    <w:name w:val="footer"/>
    <w:basedOn w:val="Normale"/>
    <w:link w:val="PidipaginaCarattere"/>
    <w:uiPriority w:val="99"/>
    <w:unhideWhenUsed/>
    <w:rsid w:val="00B111F9"/>
    <w:pPr>
      <w:tabs>
        <w:tab w:val="center" w:pos="4819"/>
        <w:tab w:val="right" w:pos="9638"/>
      </w:tabs>
    </w:pPr>
  </w:style>
  <w:style w:type="character" w:customStyle="1" w:styleId="PidipaginaCarattere">
    <w:name w:val="Piè di pagina Carattere"/>
    <w:basedOn w:val="Carpredefinitoparagrafo"/>
    <w:link w:val="Pidipagina"/>
    <w:uiPriority w:val="99"/>
    <w:rsid w:val="00B111F9"/>
    <w:rPr>
      <w:rFonts w:ascii="Calibri" w:hAnsi="Calibri" w:cs="Calibri"/>
      <w:kern w:val="0"/>
      <w14:ligatures w14:val="none"/>
    </w:rPr>
  </w:style>
  <w:style w:type="character" w:styleId="Collegamentoipertestuale">
    <w:name w:val="Hyperlink"/>
    <w:basedOn w:val="Carpredefinitoparagrafo"/>
    <w:uiPriority w:val="99"/>
    <w:unhideWhenUsed/>
    <w:rsid w:val="00A40E85"/>
    <w:rPr>
      <w:color w:val="467886" w:themeColor="hyperlink"/>
      <w:u w:val="single"/>
    </w:rPr>
  </w:style>
  <w:style w:type="character" w:styleId="Enfasigrassetto">
    <w:name w:val="Strong"/>
    <w:basedOn w:val="Carpredefinitoparagrafo"/>
    <w:uiPriority w:val="22"/>
    <w:qFormat/>
    <w:rsid w:val="003F04DD"/>
    <w:rPr>
      <w:b/>
      <w:bCs/>
    </w:rPr>
  </w:style>
  <w:style w:type="paragraph" w:styleId="NormaleWeb">
    <w:name w:val="Normal (Web)"/>
    <w:basedOn w:val="Normale"/>
    <w:uiPriority w:val="99"/>
    <w:unhideWhenUsed/>
    <w:rsid w:val="003F04DD"/>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A3803"/>
    <w:rPr>
      <w:i/>
      <w:iCs/>
    </w:rPr>
  </w:style>
  <w:style w:type="character" w:styleId="Menzionenonrisolta">
    <w:name w:val="Unresolved Mention"/>
    <w:basedOn w:val="Carpredefinitoparagrafo"/>
    <w:uiPriority w:val="99"/>
    <w:semiHidden/>
    <w:unhideWhenUsed/>
    <w:rsid w:val="00CB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07431">
      <w:bodyDiv w:val="1"/>
      <w:marLeft w:val="0"/>
      <w:marRight w:val="0"/>
      <w:marTop w:val="0"/>
      <w:marBottom w:val="0"/>
      <w:divBdr>
        <w:top w:val="none" w:sz="0" w:space="0" w:color="auto"/>
        <w:left w:val="none" w:sz="0" w:space="0" w:color="auto"/>
        <w:bottom w:val="none" w:sz="0" w:space="0" w:color="auto"/>
        <w:right w:val="none" w:sz="0" w:space="0" w:color="auto"/>
      </w:divBdr>
    </w:div>
    <w:div w:id="12329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utexpo.it" TargetMode="External"/><Relationship Id="rId13" Type="http://schemas.openxmlformats.org/officeDocument/2006/relationships/hyperlink" Target="mailto:stefano@mindthepop.it" TargetMode="External"/><Relationship Id="rId3" Type="http://schemas.openxmlformats.org/officeDocument/2006/relationships/settings" Target="settings.xml"/><Relationship Id="rId7" Type="http://schemas.openxmlformats.org/officeDocument/2006/relationships/hyperlink" Target="http://srvcww.dominio-fiera.local/gestionecww/template/%C2%B4http:/www.ttgexpo.it" TargetMode="External"/><Relationship Id="rId12" Type="http://schemas.openxmlformats.org/officeDocument/2006/relationships/hyperlink" Target="mailto:benedetto@mindthepop.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4</cp:revision>
  <dcterms:created xsi:type="dcterms:W3CDTF">2025-10-10T14:21:00Z</dcterms:created>
  <dcterms:modified xsi:type="dcterms:W3CDTF">2025-10-10T15:30:00Z</dcterms:modified>
</cp:coreProperties>
</file>