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097363" w:rsidRDefault="00D32287" w:rsidP="00E26884">
      <w:pPr>
        <w:rPr>
          <w:rFonts w:ascii="Calibri" w:hAnsi="Calibri" w:cs="Calibri"/>
          <w:b/>
          <w:bCs/>
          <w:color w:val="EE0000"/>
        </w:rPr>
      </w:pPr>
    </w:p>
    <w:p w14:paraId="1D1BE9D7" w14:textId="67A067B2" w:rsidR="00015F3D" w:rsidRPr="00097363" w:rsidRDefault="00157437" w:rsidP="00015F3D">
      <w:pPr>
        <w:jc w:val="center"/>
        <w:rPr>
          <w:rFonts w:ascii="Calibri" w:hAnsi="Calibri" w:cs="Calibri"/>
          <w:i/>
          <w:iCs/>
        </w:rPr>
      </w:pPr>
      <w:r w:rsidRPr="00097363">
        <w:rPr>
          <w:rFonts w:ascii="Calibri" w:hAnsi="Calibri" w:cs="Calibri"/>
          <w:i/>
          <w:iCs/>
        </w:rPr>
        <w:t>Press release</w:t>
      </w:r>
      <w:r w:rsidR="00F25AB9" w:rsidRPr="00097363">
        <w:rPr>
          <w:rFonts w:ascii="Calibri" w:hAnsi="Calibri" w:cs="Calibri"/>
          <w:i/>
          <w:iCs/>
        </w:rPr>
        <w:t xml:space="preserve"> n</w:t>
      </w:r>
      <w:r w:rsidRPr="00097363">
        <w:rPr>
          <w:rFonts w:ascii="Calibri" w:hAnsi="Calibri" w:cs="Calibri"/>
          <w:i/>
          <w:iCs/>
        </w:rPr>
        <w:t>o</w:t>
      </w:r>
      <w:r w:rsidR="00F25AB9" w:rsidRPr="00097363">
        <w:rPr>
          <w:rFonts w:ascii="Calibri" w:hAnsi="Calibri" w:cs="Calibri"/>
          <w:i/>
          <w:iCs/>
        </w:rPr>
        <w:t xml:space="preserve">. </w:t>
      </w:r>
      <w:r w:rsidR="000C7EB6" w:rsidRPr="00097363">
        <w:rPr>
          <w:rFonts w:ascii="Calibri" w:hAnsi="Calibri" w:cs="Calibri"/>
          <w:i/>
          <w:iCs/>
        </w:rPr>
        <w:t>1</w:t>
      </w:r>
    </w:p>
    <w:p w14:paraId="08C3EEA2" w14:textId="1C3CBC1E" w:rsidR="00871F78" w:rsidRPr="00097363" w:rsidRDefault="00157437" w:rsidP="00964936">
      <w:pPr>
        <w:jc w:val="center"/>
        <w:rPr>
          <w:rFonts w:ascii="Calibri" w:hAnsi="Calibri" w:cs="Calibri"/>
          <w:b/>
          <w:bCs/>
          <w:sz w:val="24"/>
          <w:szCs w:val="24"/>
        </w:rPr>
      </w:pPr>
      <w:r w:rsidRPr="00097363">
        <w:rPr>
          <w:rFonts w:ascii="Calibri" w:hAnsi="Calibri" w:cs="Calibri"/>
          <w:b/>
          <w:bCs/>
          <w:sz w:val="24"/>
          <w:szCs w:val="24"/>
        </w:rPr>
        <w:t>TOURISM TRANSFORMED: AI, NEW BUSINESS MODELS, AND HOSPITALITY SHAPING THE FUTURE AT TTG TRAVEL EXPERIENCE</w:t>
      </w:r>
    </w:p>
    <w:p w14:paraId="0D6BB410" w14:textId="40606473" w:rsidR="005235C9" w:rsidRPr="00097363" w:rsidRDefault="00C07CC0" w:rsidP="00871F78">
      <w:pPr>
        <w:pStyle w:val="Paragrafoelenco"/>
        <w:numPr>
          <w:ilvl w:val="0"/>
          <w:numId w:val="5"/>
        </w:numPr>
        <w:spacing w:before="100" w:beforeAutospacing="1" w:after="100" w:afterAutospacing="1" w:line="240" w:lineRule="auto"/>
        <w:jc w:val="both"/>
        <w:rPr>
          <w:rFonts w:ascii="Calibri" w:eastAsia="Times New Roman" w:hAnsi="Calibri" w:cs="Calibri"/>
          <w:kern w:val="0"/>
          <w:sz w:val="24"/>
          <w:szCs w:val="24"/>
          <w:lang w:eastAsia="it-IT"/>
          <w14:ligatures w14:val="none"/>
        </w:rPr>
      </w:pPr>
      <w:r w:rsidRPr="00097363">
        <w:rPr>
          <w:rFonts w:ascii="Calibri" w:eastAsia="Times New Roman" w:hAnsi="Calibri" w:cs="Calibri"/>
          <w:b/>
          <w:bCs/>
          <w:kern w:val="0"/>
          <w:sz w:val="24"/>
          <w:szCs w:val="24"/>
          <w:lang w:eastAsia="it-IT"/>
          <w14:ligatures w14:val="none"/>
        </w:rPr>
        <w:t xml:space="preserve">From October 8 -10, Rimini Expo Centre transforms into Italy's largest marketplace for tourism and hospitality with TTG Travel Experience and </w:t>
      </w:r>
      <w:proofErr w:type="spellStart"/>
      <w:r w:rsidRPr="00097363">
        <w:rPr>
          <w:rFonts w:ascii="Calibri" w:eastAsia="Times New Roman" w:hAnsi="Calibri" w:cs="Calibri"/>
          <w:b/>
          <w:bCs/>
          <w:kern w:val="0"/>
          <w:sz w:val="24"/>
          <w:szCs w:val="24"/>
          <w:lang w:eastAsia="it-IT"/>
          <w14:ligatures w14:val="none"/>
        </w:rPr>
        <w:t>InOut</w:t>
      </w:r>
      <w:proofErr w:type="spellEnd"/>
      <w:r w:rsidRPr="00097363">
        <w:rPr>
          <w:rFonts w:ascii="Calibri" w:eastAsia="Times New Roman" w:hAnsi="Calibri" w:cs="Calibri"/>
          <w:b/>
          <w:bCs/>
          <w:kern w:val="0"/>
          <w:sz w:val="24"/>
          <w:szCs w:val="24"/>
          <w:lang w:eastAsia="it-IT"/>
          <w14:ligatures w14:val="none"/>
        </w:rPr>
        <w:t xml:space="preserve"> | The Hospitality Community: 26 halls, 2,700 exhibiting brands, 1,000 buyers from 75 countries, and three days to spot the next big trends in global tourism.</w:t>
      </w:r>
    </w:p>
    <w:p w14:paraId="12C58E38" w14:textId="77777777" w:rsidR="00F2460E" w:rsidRPr="00097363" w:rsidRDefault="00F2460E" w:rsidP="00871F78">
      <w:pPr>
        <w:pStyle w:val="Paragrafoelenco"/>
        <w:spacing w:before="100" w:beforeAutospacing="1" w:after="100" w:afterAutospacing="1" w:line="240" w:lineRule="auto"/>
        <w:jc w:val="both"/>
        <w:rPr>
          <w:rFonts w:ascii="Calibri" w:eastAsia="Times New Roman" w:hAnsi="Calibri" w:cs="Calibri"/>
          <w:kern w:val="0"/>
          <w:sz w:val="24"/>
          <w:szCs w:val="24"/>
          <w:lang w:eastAsia="it-IT"/>
          <w14:ligatures w14:val="none"/>
        </w:rPr>
      </w:pPr>
    </w:p>
    <w:p w14:paraId="6184F4A2" w14:textId="581D1CED" w:rsidR="00F2460E" w:rsidRPr="00097363" w:rsidRDefault="00C07CC0" w:rsidP="00871F78">
      <w:pPr>
        <w:pStyle w:val="Paragrafoelenco"/>
        <w:numPr>
          <w:ilvl w:val="0"/>
          <w:numId w:val="5"/>
        </w:numPr>
        <w:spacing w:after="0" w:line="240" w:lineRule="auto"/>
        <w:jc w:val="both"/>
        <w:rPr>
          <w:rFonts w:ascii="Calibri" w:eastAsia="Times New Roman" w:hAnsi="Calibri" w:cs="Calibri"/>
          <w:kern w:val="0"/>
          <w:sz w:val="24"/>
          <w:szCs w:val="24"/>
          <w:lang w:eastAsia="it-IT"/>
          <w14:ligatures w14:val="none"/>
        </w:rPr>
      </w:pPr>
      <w:r w:rsidRPr="00097363">
        <w:rPr>
          <w:rFonts w:ascii="Calibri" w:eastAsia="Times New Roman" w:hAnsi="Calibri" w:cs="Calibri"/>
          <w:b/>
          <w:bCs/>
          <w:kern w:val="0"/>
          <w:sz w:val="24"/>
          <w:szCs w:val="24"/>
          <w:lang w:eastAsia="it-IT"/>
          <w14:ligatures w14:val="none"/>
        </w:rPr>
        <w:t xml:space="preserve">Luxury Event on October 7: a B2B gathering focused on high-end tourism to redefine the luxury </w:t>
      </w:r>
      <w:r w:rsidR="00097363" w:rsidRPr="00097363">
        <w:rPr>
          <w:rFonts w:ascii="Calibri" w:eastAsia="Times New Roman" w:hAnsi="Calibri" w:cs="Calibri"/>
          <w:b/>
          <w:bCs/>
          <w:kern w:val="0"/>
          <w:sz w:val="24"/>
          <w:szCs w:val="24"/>
          <w:lang w:eastAsia="it-IT"/>
          <w14:ligatures w14:val="none"/>
        </w:rPr>
        <w:t>traveller’s</w:t>
      </w:r>
      <w:r w:rsidRPr="00097363">
        <w:rPr>
          <w:rFonts w:ascii="Calibri" w:eastAsia="Times New Roman" w:hAnsi="Calibri" w:cs="Calibri"/>
          <w:b/>
          <w:bCs/>
          <w:kern w:val="0"/>
          <w:sz w:val="24"/>
          <w:szCs w:val="24"/>
          <w:lang w:eastAsia="it-IT"/>
          <w14:ligatures w14:val="none"/>
        </w:rPr>
        <w:t xml:space="preserve"> experience.</w:t>
      </w:r>
    </w:p>
    <w:p w14:paraId="27401C28" w14:textId="7816DCB6" w:rsidR="00F2460E" w:rsidRPr="00097363" w:rsidRDefault="00F2460E" w:rsidP="00871F78">
      <w:pPr>
        <w:pStyle w:val="Paragrafoelenco"/>
        <w:spacing w:after="0" w:line="240" w:lineRule="auto"/>
        <w:jc w:val="both"/>
        <w:rPr>
          <w:rFonts w:ascii="Calibri" w:eastAsia="Times New Roman" w:hAnsi="Calibri" w:cs="Calibri"/>
          <w:kern w:val="0"/>
          <w:sz w:val="24"/>
          <w:szCs w:val="24"/>
          <w:lang w:eastAsia="it-IT"/>
          <w14:ligatures w14:val="none"/>
        </w:rPr>
      </w:pPr>
    </w:p>
    <w:p w14:paraId="2B162468" w14:textId="55FCF53B" w:rsidR="00060FBA" w:rsidRPr="00097363" w:rsidRDefault="00C07CC0" w:rsidP="00871F78">
      <w:pPr>
        <w:pStyle w:val="Paragrafoelenco"/>
        <w:numPr>
          <w:ilvl w:val="0"/>
          <w:numId w:val="5"/>
        </w:numPr>
        <w:spacing w:after="0" w:line="240" w:lineRule="auto"/>
        <w:jc w:val="both"/>
        <w:rPr>
          <w:rFonts w:ascii="Calibri" w:eastAsia="Times New Roman" w:hAnsi="Calibri" w:cs="Calibri"/>
          <w:b/>
          <w:bCs/>
          <w:kern w:val="0"/>
          <w:sz w:val="24"/>
          <w:szCs w:val="24"/>
          <w:lang w:eastAsia="it-IT"/>
          <w14:ligatures w14:val="none"/>
        </w:rPr>
      </w:pPr>
      <w:r w:rsidRPr="00097363">
        <w:rPr>
          <w:rFonts w:ascii="Calibri" w:eastAsia="Times New Roman" w:hAnsi="Calibri" w:cs="Calibri"/>
          <w:b/>
          <w:bCs/>
          <w:kern w:val="0"/>
          <w:sz w:val="24"/>
          <w:szCs w:val="24"/>
          <w:lang w:eastAsia="it-IT"/>
          <w14:ligatures w14:val="none"/>
        </w:rPr>
        <w:t>Destinations and major brands in the spotlight: from Italy to global destinations, including nautical tourism and the new Hotel Chains route dedicated to hotel chains.</w:t>
      </w:r>
    </w:p>
    <w:p w14:paraId="44F1DC7A" w14:textId="77777777" w:rsidR="00767C82" w:rsidRPr="00097363" w:rsidRDefault="00767C82" w:rsidP="00767C82">
      <w:pPr>
        <w:pStyle w:val="Paragrafoelenco"/>
        <w:spacing w:before="100" w:beforeAutospacing="1" w:after="100" w:afterAutospacing="1" w:line="240" w:lineRule="auto"/>
      </w:pPr>
    </w:p>
    <w:p w14:paraId="2829AD71" w14:textId="27DC10CC" w:rsidR="005235C9" w:rsidRPr="00097363" w:rsidRDefault="00767C82" w:rsidP="00767C82">
      <w:pPr>
        <w:pStyle w:val="Paragrafoelenco"/>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hyperlink r:id="rId7" w:history="1">
        <w:r w:rsidRPr="00097363">
          <w:rPr>
            <w:rStyle w:val="Collegamentoipertestuale"/>
            <w:rFonts w:ascii="Times New Roman" w:eastAsia="Times New Roman" w:hAnsi="Times New Roman" w:cs="Times New Roman"/>
            <w:kern w:val="0"/>
            <w:sz w:val="24"/>
            <w:szCs w:val="24"/>
            <w:lang w:eastAsia="it-IT"/>
            <w14:ligatures w14:val="none"/>
          </w:rPr>
          <w:t>www.ttgexpo.it</w:t>
        </w:r>
      </w:hyperlink>
      <w:r w:rsidRPr="00097363">
        <w:rPr>
          <w:rFonts w:ascii="Times New Roman" w:eastAsia="Times New Roman" w:hAnsi="Times New Roman" w:cs="Times New Roman"/>
          <w:kern w:val="0"/>
          <w:sz w:val="24"/>
          <w:szCs w:val="24"/>
          <w:lang w:eastAsia="it-IT"/>
          <w14:ligatures w14:val="none"/>
        </w:rPr>
        <w:t xml:space="preserve"> | www.inout.it</w:t>
      </w:r>
    </w:p>
    <w:p w14:paraId="232C46A2" w14:textId="22F9B933" w:rsidR="000A2373" w:rsidRPr="00097363" w:rsidRDefault="005235C9" w:rsidP="00B33E78">
      <w:pPr>
        <w:jc w:val="both"/>
        <w:rPr>
          <w:rFonts w:ascii="Calibri" w:hAnsi="Calibri" w:cs="Calibri"/>
        </w:rPr>
      </w:pPr>
      <w:r w:rsidRPr="00097363">
        <w:rPr>
          <w:rFonts w:ascii="Calibri" w:eastAsia="Times New Roman" w:hAnsi="Calibri" w:cs="Calibri"/>
          <w:i/>
          <w:iCs/>
          <w:kern w:val="0"/>
          <w:lang w:eastAsia="it-IT"/>
          <w14:ligatures w14:val="none"/>
        </w:rPr>
        <w:t xml:space="preserve">Rimini, </w:t>
      </w:r>
      <w:r w:rsidR="00522BCC" w:rsidRPr="00097363">
        <w:rPr>
          <w:rFonts w:ascii="Calibri" w:eastAsia="Times New Roman" w:hAnsi="Calibri" w:cs="Calibri"/>
          <w:i/>
          <w:iCs/>
          <w:kern w:val="0"/>
          <w:lang w:eastAsia="it-IT"/>
          <w14:ligatures w14:val="none"/>
        </w:rPr>
        <w:t xml:space="preserve">01 </w:t>
      </w:r>
      <w:r w:rsidR="00C07CC0" w:rsidRPr="00097363">
        <w:rPr>
          <w:rFonts w:ascii="Calibri" w:eastAsia="Times New Roman" w:hAnsi="Calibri" w:cs="Calibri"/>
          <w:i/>
          <w:iCs/>
          <w:kern w:val="0"/>
          <w:lang w:eastAsia="it-IT"/>
          <w14:ligatures w14:val="none"/>
        </w:rPr>
        <w:t>October</w:t>
      </w:r>
      <w:r w:rsidR="00E7179D" w:rsidRPr="00097363">
        <w:rPr>
          <w:rFonts w:ascii="Calibri" w:eastAsia="Times New Roman" w:hAnsi="Calibri" w:cs="Calibri"/>
          <w:i/>
          <w:iCs/>
          <w:kern w:val="0"/>
          <w:lang w:eastAsia="it-IT"/>
          <w14:ligatures w14:val="none"/>
        </w:rPr>
        <w:t xml:space="preserve"> </w:t>
      </w:r>
      <w:r w:rsidRPr="00097363">
        <w:rPr>
          <w:rFonts w:ascii="Calibri" w:eastAsia="Times New Roman" w:hAnsi="Calibri" w:cs="Calibri"/>
          <w:i/>
          <w:iCs/>
          <w:kern w:val="0"/>
          <w:lang w:eastAsia="it-IT"/>
          <w14:ligatures w14:val="none"/>
        </w:rPr>
        <w:t>2025</w:t>
      </w:r>
      <w:r w:rsidRPr="00097363">
        <w:rPr>
          <w:rFonts w:ascii="Calibri" w:eastAsia="Times New Roman" w:hAnsi="Calibri" w:cs="Calibri"/>
          <w:kern w:val="0"/>
          <w:lang w:eastAsia="it-IT"/>
          <w14:ligatures w14:val="none"/>
        </w:rPr>
        <w:t xml:space="preserve"> –</w:t>
      </w:r>
      <w:r w:rsidR="00C07CC0" w:rsidRPr="00097363">
        <w:rPr>
          <w:rFonts w:ascii="Calibri" w:eastAsia="Times New Roman" w:hAnsi="Calibri" w:cs="Calibri"/>
          <w:kern w:val="0"/>
          <w:lang w:eastAsia="it-IT"/>
          <w14:ligatures w14:val="none"/>
        </w:rPr>
        <w:t xml:space="preserve">The tourism and hospitality industry gathers in Rimini from </w:t>
      </w:r>
      <w:r w:rsidR="00C07CC0" w:rsidRPr="00097363">
        <w:rPr>
          <w:rFonts w:ascii="Calibri" w:eastAsia="Times New Roman" w:hAnsi="Calibri" w:cs="Calibri"/>
          <w:b/>
          <w:bCs/>
          <w:kern w:val="0"/>
          <w:lang w:eastAsia="it-IT"/>
          <w14:ligatures w14:val="none"/>
        </w:rPr>
        <w:t>October 8-10</w:t>
      </w:r>
      <w:r w:rsidR="00C07CC0" w:rsidRPr="00097363">
        <w:rPr>
          <w:rFonts w:ascii="Calibri" w:eastAsia="Times New Roman" w:hAnsi="Calibri" w:cs="Calibri"/>
          <w:kern w:val="0"/>
          <w:lang w:eastAsia="it-IT"/>
          <w14:ligatures w14:val="none"/>
        </w:rPr>
        <w:t xml:space="preserve">, </w:t>
      </w:r>
      <w:r w:rsidR="00C07CC0" w:rsidRPr="00097363">
        <w:rPr>
          <w:rFonts w:ascii="Calibri" w:eastAsia="Times New Roman" w:hAnsi="Calibri" w:cs="Calibri"/>
          <w:b/>
          <w:bCs/>
          <w:kern w:val="0"/>
          <w:lang w:eastAsia="it-IT"/>
          <w14:ligatures w14:val="none"/>
        </w:rPr>
        <w:t xml:space="preserve">TTG Travel Experience and </w:t>
      </w:r>
      <w:proofErr w:type="spellStart"/>
      <w:r w:rsidR="00C07CC0" w:rsidRPr="00097363">
        <w:rPr>
          <w:rFonts w:ascii="Calibri" w:eastAsia="Times New Roman" w:hAnsi="Calibri" w:cs="Calibri"/>
          <w:b/>
          <w:bCs/>
          <w:kern w:val="0"/>
          <w:lang w:eastAsia="it-IT"/>
          <w14:ligatures w14:val="none"/>
        </w:rPr>
        <w:t>InOut</w:t>
      </w:r>
      <w:proofErr w:type="spellEnd"/>
      <w:r w:rsidR="00C07CC0" w:rsidRPr="00097363">
        <w:rPr>
          <w:rFonts w:ascii="Calibri" w:eastAsia="Times New Roman" w:hAnsi="Calibri" w:cs="Calibri"/>
          <w:b/>
          <w:bCs/>
          <w:kern w:val="0"/>
          <w:lang w:eastAsia="it-IT"/>
          <w14:ligatures w14:val="none"/>
        </w:rPr>
        <w:t xml:space="preserve"> | The Hospitality Community</w:t>
      </w:r>
      <w:r w:rsidR="00C07CC0" w:rsidRPr="00097363">
        <w:rPr>
          <w:rFonts w:ascii="Calibri" w:eastAsia="Times New Roman" w:hAnsi="Calibri" w:cs="Calibri"/>
          <w:kern w:val="0"/>
          <w:lang w:eastAsia="it-IT"/>
          <w14:ligatures w14:val="none"/>
        </w:rPr>
        <w:t xml:space="preserve">, at two events curated by </w:t>
      </w:r>
      <w:r w:rsidR="00C07CC0" w:rsidRPr="00097363">
        <w:rPr>
          <w:rFonts w:ascii="Calibri" w:eastAsia="Times New Roman" w:hAnsi="Calibri" w:cs="Calibri"/>
          <w:b/>
          <w:bCs/>
          <w:kern w:val="0"/>
          <w:lang w:eastAsia="it-IT"/>
          <w14:ligatures w14:val="none"/>
        </w:rPr>
        <w:t>Italian Exhibition Group</w:t>
      </w:r>
      <w:r w:rsidR="00C07CC0" w:rsidRPr="00097363">
        <w:rPr>
          <w:rFonts w:ascii="Calibri" w:eastAsia="Times New Roman" w:hAnsi="Calibri" w:cs="Calibri"/>
          <w:kern w:val="0"/>
          <w:lang w:eastAsia="it-IT"/>
          <w14:ligatures w14:val="none"/>
        </w:rPr>
        <w:t xml:space="preserve"> that will transform Rimini Expo Centre into the hub of international tourism business. </w:t>
      </w:r>
      <w:r w:rsidR="00C07CC0" w:rsidRPr="00097363">
        <w:rPr>
          <w:rFonts w:ascii="Calibri" w:eastAsia="Times New Roman" w:hAnsi="Calibri" w:cs="Calibri"/>
          <w:b/>
          <w:bCs/>
          <w:kern w:val="0"/>
          <w:lang w:eastAsia="it-IT"/>
          <w14:ligatures w14:val="none"/>
        </w:rPr>
        <w:t>With 2,700 exhibiting brands across 26 halls and 1,000 buyers from 75 countries</w:t>
      </w:r>
      <w:r w:rsidR="00C07CC0" w:rsidRPr="00097363">
        <w:rPr>
          <w:rFonts w:ascii="Calibri" w:eastAsia="Times New Roman" w:hAnsi="Calibri" w:cs="Calibri"/>
          <w:kern w:val="0"/>
          <w:lang w:eastAsia="it-IT"/>
          <w14:ligatures w14:val="none"/>
        </w:rPr>
        <w:t xml:space="preserve">, TTG and </w:t>
      </w:r>
      <w:proofErr w:type="spellStart"/>
      <w:r w:rsidR="00C07CC0" w:rsidRPr="00097363">
        <w:rPr>
          <w:rFonts w:ascii="Calibri" w:eastAsia="Times New Roman" w:hAnsi="Calibri" w:cs="Calibri"/>
          <w:kern w:val="0"/>
          <w:lang w:eastAsia="it-IT"/>
          <w14:ligatures w14:val="none"/>
        </w:rPr>
        <w:t>InOut</w:t>
      </w:r>
      <w:proofErr w:type="spellEnd"/>
      <w:r w:rsidR="00C07CC0" w:rsidRPr="00097363">
        <w:rPr>
          <w:rFonts w:ascii="Calibri" w:eastAsia="Times New Roman" w:hAnsi="Calibri" w:cs="Calibri"/>
          <w:kern w:val="0"/>
          <w:lang w:eastAsia="it-IT"/>
          <w14:ligatures w14:val="none"/>
        </w:rPr>
        <w:t xml:space="preserve"> shine a spotlight on the future of tourism: three days to connect, share ideas, and turn them into business.</w:t>
      </w:r>
    </w:p>
    <w:p w14:paraId="02074111" w14:textId="7C8611A9" w:rsidR="00E94154" w:rsidRPr="00097363" w:rsidRDefault="00B16450" w:rsidP="00154ED4">
      <w:pPr>
        <w:spacing w:before="100" w:beforeAutospacing="1" w:after="100" w:afterAutospacing="1" w:line="240" w:lineRule="auto"/>
        <w:jc w:val="both"/>
        <w:rPr>
          <w:rFonts w:ascii="Calibri" w:eastAsia="Times New Roman" w:hAnsi="Calibri" w:cs="Calibri"/>
          <w:kern w:val="0"/>
          <w:lang w:eastAsia="it-IT"/>
          <w14:ligatures w14:val="none"/>
        </w:rPr>
      </w:pPr>
      <w:r w:rsidRPr="00097363">
        <w:rPr>
          <w:rFonts w:ascii="Calibri" w:eastAsia="Times New Roman" w:hAnsi="Calibri" w:cs="Calibri"/>
          <w:b/>
          <w:bCs/>
          <w:kern w:val="0"/>
          <w:lang w:eastAsia="it-IT"/>
          <w14:ligatures w14:val="none"/>
        </w:rPr>
        <w:t>"Awake to a New Era"</w:t>
      </w:r>
      <w:r w:rsidRPr="00097363">
        <w:rPr>
          <w:rFonts w:ascii="Calibri" w:eastAsia="Times New Roman" w:hAnsi="Calibri" w:cs="Calibri"/>
          <w:kern w:val="0"/>
          <w:lang w:eastAsia="it-IT"/>
          <w14:ligatures w14:val="none"/>
        </w:rPr>
        <w:t xml:space="preserve"> is the theme that will guide the 62</w:t>
      </w:r>
      <w:r w:rsidRPr="00097363">
        <w:rPr>
          <w:rFonts w:ascii="Calibri" w:eastAsia="Times New Roman" w:hAnsi="Calibri" w:cs="Calibri"/>
          <w:kern w:val="0"/>
          <w:vertAlign w:val="superscript"/>
          <w:lang w:eastAsia="it-IT"/>
          <w14:ligatures w14:val="none"/>
        </w:rPr>
        <w:t>nd</w:t>
      </w:r>
      <w:r w:rsidRPr="00097363">
        <w:rPr>
          <w:rFonts w:ascii="Calibri" w:eastAsia="Times New Roman" w:hAnsi="Calibri" w:cs="Calibri"/>
          <w:kern w:val="0"/>
          <w:lang w:eastAsia="it-IT"/>
          <w14:ligatures w14:val="none"/>
        </w:rPr>
        <w:t xml:space="preserve"> edition of TTG Travel Experience and </w:t>
      </w:r>
      <w:proofErr w:type="spellStart"/>
      <w:r w:rsidRPr="00097363">
        <w:rPr>
          <w:rFonts w:ascii="Calibri" w:eastAsia="Times New Roman" w:hAnsi="Calibri" w:cs="Calibri"/>
          <w:kern w:val="0"/>
          <w:lang w:eastAsia="it-IT"/>
          <w14:ligatures w14:val="none"/>
        </w:rPr>
        <w:t>InOut</w:t>
      </w:r>
      <w:proofErr w:type="spellEnd"/>
      <w:r w:rsidRPr="00097363">
        <w:rPr>
          <w:rFonts w:ascii="Calibri" w:eastAsia="Times New Roman" w:hAnsi="Calibri" w:cs="Calibri"/>
          <w:kern w:val="0"/>
          <w:lang w:eastAsia="it-IT"/>
          <w14:ligatures w14:val="none"/>
        </w:rPr>
        <w:t xml:space="preserve"> | The Hospitality Community. It invites us to recognize the major changes underway—from AI to new global balances—and transform them into concrete strategies for the tourism industry.</w:t>
      </w:r>
    </w:p>
    <w:p w14:paraId="679D85BA" w14:textId="49185E36" w:rsidR="00154ED4" w:rsidRPr="00097363" w:rsidRDefault="00B16450" w:rsidP="00154ED4">
      <w:pPr>
        <w:spacing w:before="100" w:beforeAutospacing="1" w:after="100" w:afterAutospacing="1" w:line="240" w:lineRule="auto"/>
        <w:jc w:val="both"/>
        <w:rPr>
          <w:rFonts w:ascii="Calibri" w:eastAsia="Times New Roman" w:hAnsi="Calibri" w:cs="Calibri"/>
          <w:kern w:val="0"/>
          <w:lang w:eastAsia="it-IT"/>
          <w14:ligatures w14:val="none"/>
        </w:rPr>
      </w:pPr>
      <w:r w:rsidRPr="00097363">
        <w:rPr>
          <w:rFonts w:ascii="Calibri" w:eastAsia="Times New Roman" w:hAnsi="Calibri" w:cs="Calibri"/>
          <w:kern w:val="0"/>
          <w:lang w:eastAsia="it-IT"/>
          <w14:ligatures w14:val="none"/>
        </w:rPr>
        <w:t xml:space="preserve">On October 8 at 4:30 PM, TTG Travel Experience will unveil the world premiere of </w:t>
      </w:r>
      <w:r w:rsidRPr="00097363">
        <w:rPr>
          <w:rFonts w:ascii="Calibri" w:eastAsia="Times New Roman" w:hAnsi="Calibri" w:cs="Calibri"/>
          <w:b/>
          <w:bCs/>
          <w:kern w:val="0"/>
          <w:lang w:eastAsia="it-IT"/>
          <w14:ligatures w14:val="none"/>
        </w:rPr>
        <w:t>Travel &amp; Hospitality Vision +26 by TTG</w:t>
      </w:r>
      <w:r w:rsidRPr="00097363">
        <w:rPr>
          <w:rFonts w:ascii="Calibri" w:eastAsia="Times New Roman" w:hAnsi="Calibri" w:cs="Calibri"/>
          <w:kern w:val="0"/>
          <w:lang w:eastAsia="it-IT"/>
          <w14:ligatures w14:val="none"/>
        </w:rPr>
        <w:t xml:space="preserve">. This report traces the </w:t>
      </w:r>
      <w:r w:rsidRPr="00097363">
        <w:rPr>
          <w:rFonts w:ascii="Calibri" w:eastAsia="Times New Roman" w:hAnsi="Calibri" w:cs="Calibri"/>
          <w:b/>
          <w:bCs/>
          <w:kern w:val="0"/>
          <w:lang w:eastAsia="it-IT"/>
          <w14:ligatures w14:val="none"/>
        </w:rPr>
        <w:t>Deep Trends for 2026-2030</w:t>
      </w:r>
      <w:r w:rsidRPr="00097363">
        <w:rPr>
          <w:rFonts w:ascii="Calibri" w:eastAsia="Times New Roman" w:hAnsi="Calibri" w:cs="Calibri"/>
          <w:kern w:val="0"/>
          <w:lang w:eastAsia="it-IT"/>
          <w14:ligatures w14:val="none"/>
        </w:rPr>
        <w:t xml:space="preserve"> and anticipates the challenges the industry will face over the next five years, including new business models, positive-impact tourism, and the increasing integration of artificial intelligence in travel planning. </w:t>
      </w:r>
    </w:p>
    <w:p w14:paraId="41C44546" w14:textId="2DA90B04" w:rsidR="005235C9" w:rsidRPr="00097363" w:rsidRDefault="000C7EB6" w:rsidP="000C7EB6">
      <w:pPr>
        <w:spacing w:before="100" w:beforeAutospacing="1" w:after="100" w:afterAutospacing="1" w:line="240" w:lineRule="auto"/>
        <w:jc w:val="both"/>
        <w:rPr>
          <w:rFonts w:ascii="Calibri" w:eastAsia="Times New Roman" w:hAnsi="Calibri" w:cs="Calibri"/>
          <w:kern w:val="0"/>
          <w:lang w:eastAsia="it-IT"/>
          <w14:ligatures w14:val="none"/>
        </w:rPr>
      </w:pPr>
      <w:r w:rsidRPr="00097363">
        <w:rPr>
          <w:rFonts w:ascii="Calibri" w:eastAsia="Times New Roman" w:hAnsi="Calibri" w:cs="Calibri"/>
          <w:b/>
          <w:bCs/>
          <w:kern w:val="0"/>
          <w:lang w:eastAsia="it-IT"/>
          <w14:ligatures w14:val="none"/>
        </w:rPr>
        <w:t xml:space="preserve">LUXURY EVENT: </w:t>
      </w:r>
      <w:r w:rsidR="00B16450" w:rsidRPr="00097363">
        <w:rPr>
          <w:rFonts w:ascii="Calibri" w:eastAsia="Times New Roman" w:hAnsi="Calibri" w:cs="Calibri"/>
          <w:b/>
          <w:bCs/>
          <w:kern w:val="0"/>
          <w:lang w:eastAsia="it-IT"/>
          <w14:ligatures w14:val="none"/>
        </w:rPr>
        <w:t>EXCLUSIVE PREVIEW</w:t>
      </w:r>
    </w:p>
    <w:p w14:paraId="21B23B3C" w14:textId="2163A32C" w:rsidR="00243B07" w:rsidRPr="00097363" w:rsidRDefault="00B16450" w:rsidP="00243B07">
      <w:pPr>
        <w:spacing w:before="100" w:beforeAutospacing="1" w:after="100" w:afterAutospacing="1" w:line="240" w:lineRule="auto"/>
        <w:jc w:val="both"/>
        <w:rPr>
          <w:rFonts w:ascii="Calibri" w:eastAsia="Times New Roman" w:hAnsi="Calibri" w:cs="Calibri"/>
          <w:kern w:val="0"/>
          <w:lang w:eastAsia="it-IT"/>
          <w14:ligatures w14:val="none"/>
        </w:rPr>
      </w:pPr>
      <w:r w:rsidRPr="00097363">
        <w:rPr>
          <w:rFonts w:ascii="Calibri" w:eastAsia="Times New Roman" w:hAnsi="Calibri" w:cs="Calibri"/>
          <w:kern w:val="0"/>
          <w:lang w:eastAsia="it-IT"/>
          <w14:ligatures w14:val="none"/>
        </w:rPr>
        <w:t xml:space="preserve">For the third year running, </w:t>
      </w:r>
      <w:r w:rsidRPr="00097363">
        <w:rPr>
          <w:rFonts w:ascii="Calibri" w:eastAsia="Times New Roman" w:hAnsi="Calibri" w:cs="Calibri"/>
          <w:b/>
          <w:bCs/>
          <w:kern w:val="0"/>
          <w:lang w:eastAsia="it-IT"/>
          <w14:ligatures w14:val="none"/>
        </w:rPr>
        <w:t>Luxury Event by TTG</w:t>
      </w:r>
      <w:r w:rsidRPr="00097363">
        <w:rPr>
          <w:rFonts w:ascii="Calibri" w:eastAsia="Times New Roman" w:hAnsi="Calibri" w:cs="Calibri"/>
          <w:kern w:val="0"/>
          <w:lang w:eastAsia="it-IT"/>
          <w14:ligatures w14:val="none"/>
        </w:rPr>
        <w:t xml:space="preserve"> returns on </w:t>
      </w:r>
      <w:r w:rsidRPr="00097363">
        <w:rPr>
          <w:rFonts w:ascii="Calibri" w:eastAsia="Times New Roman" w:hAnsi="Calibri" w:cs="Calibri"/>
          <w:b/>
          <w:bCs/>
          <w:kern w:val="0"/>
          <w:lang w:eastAsia="it-IT"/>
          <w14:ligatures w14:val="none"/>
        </w:rPr>
        <w:t>October 7</w:t>
      </w:r>
      <w:r w:rsidRPr="00097363">
        <w:rPr>
          <w:rFonts w:ascii="Calibri" w:eastAsia="Times New Roman" w:hAnsi="Calibri" w:cs="Calibri"/>
          <w:kern w:val="0"/>
          <w:lang w:eastAsia="it-IT"/>
          <w14:ligatures w14:val="none"/>
        </w:rPr>
        <w:t xml:space="preserve">, set against the backdrop of the </w:t>
      </w:r>
      <w:r w:rsidRPr="00097363">
        <w:rPr>
          <w:rFonts w:ascii="Calibri" w:eastAsia="Times New Roman" w:hAnsi="Calibri" w:cs="Calibri"/>
          <w:b/>
          <w:bCs/>
          <w:kern w:val="0"/>
          <w:lang w:eastAsia="it-IT"/>
          <w14:ligatures w14:val="none"/>
        </w:rPr>
        <w:t>Grand Hotel Rimini</w:t>
      </w:r>
      <w:r w:rsidRPr="00097363">
        <w:rPr>
          <w:rFonts w:ascii="Calibri" w:eastAsia="Times New Roman" w:hAnsi="Calibri" w:cs="Calibri"/>
          <w:kern w:val="0"/>
          <w:lang w:eastAsia="it-IT"/>
          <w14:ligatures w14:val="none"/>
        </w:rPr>
        <w:t xml:space="preserve">. The B2B event, which this year brings together 80 exhibitors and 85 top international buyers, will host a day of tailored, high-profile meetings. Today’s luxury </w:t>
      </w:r>
      <w:r w:rsidR="00097363" w:rsidRPr="00097363">
        <w:rPr>
          <w:rFonts w:ascii="Calibri" w:eastAsia="Times New Roman" w:hAnsi="Calibri" w:cs="Calibri"/>
          <w:kern w:val="0"/>
          <w:lang w:eastAsia="it-IT"/>
          <w14:ligatures w14:val="none"/>
        </w:rPr>
        <w:t>traveller</w:t>
      </w:r>
      <w:r w:rsidRPr="00097363">
        <w:rPr>
          <w:rFonts w:ascii="Calibri" w:eastAsia="Times New Roman" w:hAnsi="Calibri" w:cs="Calibri"/>
          <w:kern w:val="0"/>
          <w:lang w:eastAsia="it-IT"/>
          <w14:ligatures w14:val="none"/>
        </w:rPr>
        <w:t xml:space="preserve"> seeks authentic experiences made seamless by technology, and Luxury Event by TTG becomes the premier venue for devising strategies to meet these new expectations.</w:t>
      </w:r>
    </w:p>
    <w:p w14:paraId="267D52A8" w14:textId="5E9F75CA" w:rsidR="00E62B06" w:rsidRPr="00097363" w:rsidRDefault="00E62B06" w:rsidP="00BB4BBA">
      <w:pPr>
        <w:spacing w:before="100" w:beforeAutospacing="1" w:after="100" w:afterAutospacing="1" w:line="240" w:lineRule="auto"/>
        <w:jc w:val="both"/>
        <w:rPr>
          <w:rFonts w:ascii="Calibri" w:eastAsia="Times New Roman" w:hAnsi="Calibri" w:cs="Calibri"/>
          <w:b/>
          <w:bCs/>
          <w:kern w:val="0"/>
          <w:lang w:eastAsia="it-IT"/>
          <w14:ligatures w14:val="none"/>
        </w:rPr>
      </w:pPr>
      <w:r w:rsidRPr="00097363">
        <w:rPr>
          <w:rFonts w:ascii="Calibri" w:eastAsia="Times New Roman" w:hAnsi="Calibri" w:cs="Calibri"/>
          <w:b/>
          <w:bCs/>
          <w:kern w:val="0"/>
          <w:lang w:eastAsia="it-IT"/>
          <w14:ligatures w14:val="none"/>
        </w:rPr>
        <w:t>DESTINA</w:t>
      </w:r>
      <w:r w:rsidR="00B16450" w:rsidRPr="00097363">
        <w:rPr>
          <w:rFonts w:ascii="Calibri" w:eastAsia="Times New Roman" w:hAnsi="Calibri" w:cs="Calibri"/>
          <w:b/>
          <w:bCs/>
          <w:kern w:val="0"/>
          <w:lang w:eastAsia="it-IT"/>
          <w14:ligatures w14:val="none"/>
        </w:rPr>
        <w:t>TIONS, HOTEL CHAINS AND INNOVATIVE COMPANIES</w:t>
      </w:r>
      <w:r w:rsidR="00866B13" w:rsidRPr="00097363">
        <w:rPr>
          <w:rFonts w:ascii="Calibri" w:eastAsia="Times New Roman" w:hAnsi="Calibri" w:cs="Calibri"/>
          <w:b/>
          <w:bCs/>
          <w:kern w:val="0"/>
          <w:lang w:eastAsia="it-IT"/>
          <w14:ligatures w14:val="none"/>
        </w:rPr>
        <w:t xml:space="preserve">: </w:t>
      </w:r>
      <w:r w:rsidR="00B16450" w:rsidRPr="00097363">
        <w:rPr>
          <w:rFonts w:ascii="Calibri" w:eastAsia="Times New Roman" w:hAnsi="Calibri" w:cs="Calibri"/>
          <w:b/>
          <w:bCs/>
          <w:kern w:val="0"/>
          <w:lang w:eastAsia="it-IT"/>
          <w14:ligatures w14:val="none"/>
        </w:rPr>
        <w:t>THE HEART OF</w:t>
      </w:r>
      <w:r w:rsidR="00866B13" w:rsidRPr="00097363">
        <w:rPr>
          <w:rFonts w:ascii="Calibri" w:eastAsia="Times New Roman" w:hAnsi="Calibri" w:cs="Calibri"/>
          <w:b/>
          <w:bCs/>
          <w:kern w:val="0"/>
          <w:lang w:eastAsia="it-IT"/>
          <w14:ligatures w14:val="none"/>
        </w:rPr>
        <w:t xml:space="preserve"> TTG</w:t>
      </w:r>
    </w:p>
    <w:p w14:paraId="1289D883" w14:textId="77777777" w:rsidR="00097363" w:rsidRPr="00097363" w:rsidRDefault="00B16450" w:rsidP="001547C6">
      <w:pPr>
        <w:spacing w:before="100" w:beforeAutospacing="1" w:after="100" w:afterAutospacing="1" w:line="240" w:lineRule="auto"/>
        <w:jc w:val="both"/>
        <w:rPr>
          <w:rFonts w:ascii="Calibri" w:eastAsia="Times New Roman" w:hAnsi="Calibri" w:cs="Calibri"/>
          <w:kern w:val="0"/>
          <w:lang w:eastAsia="it-IT"/>
          <w14:ligatures w14:val="none"/>
        </w:rPr>
      </w:pPr>
      <w:r w:rsidRPr="00097363">
        <w:rPr>
          <w:rFonts w:ascii="Calibri" w:eastAsia="Times New Roman" w:hAnsi="Calibri" w:cs="Calibri"/>
          <w:kern w:val="0"/>
          <w:lang w:eastAsia="it-IT"/>
          <w14:ligatures w14:val="none"/>
        </w:rPr>
        <w:t xml:space="preserve">The expo centre transforms into a true map of global tourism: from </w:t>
      </w:r>
      <w:r w:rsidRPr="00097363">
        <w:rPr>
          <w:rFonts w:ascii="Calibri" w:eastAsia="Times New Roman" w:hAnsi="Calibri" w:cs="Calibri"/>
          <w:b/>
          <w:bCs/>
          <w:kern w:val="0"/>
          <w:lang w:eastAsia="it-IT"/>
          <w14:ligatures w14:val="none"/>
        </w:rPr>
        <w:t>Area Italia</w:t>
      </w:r>
      <w:r w:rsidRPr="00097363">
        <w:rPr>
          <w:rFonts w:ascii="Calibri" w:eastAsia="Times New Roman" w:hAnsi="Calibri" w:cs="Calibri"/>
          <w:kern w:val="0"/>
          <w:lang w:eastAsia="it-IT"/>
          <w14:ligatures w14:val="none"/>
        </w:rPr>
        <w:t xml:space="preserve">, with its seven halls serving as the largest marketplace for incoming tourism, to </w:t>
      </w:r>
      <w:r w:rsidRPr="00097363">
        <w:rPr>
          <w:rFonts w:ascii="Calibri" w:eastAsia="Times New Roman" w:hAnsi="Calibri" w:cs="Calibri"/>
          <w:b/>
          <w:bCs/>
          <w:kern w:val="0"/>
          <w:lang w:eastAsia="it-IT"/>
          <w14:ligatures w14:val="none"/>
        </w:rPr>
        <w:t>The World,</w:t>
      </w:r>
      <w:r w:rsidRPr="00097363">
        <w:rPr>
          <w:rFonts w:ascii="Calibri" w:eastAsia="Times New Roman" w:hAnsi="Calibri" w:cs="Calibri"/>
          <w:kern w:val="0"/>
          <w:lang w:eastAsia="it-IT"/>
          <w14:ligatures w14:val="none"/>
        </w:rPr>
        <w:t xml:space="preserve"> the "destination hall" where countries from all continents meet the Italian market, and finally the </w:t>
      </w:r>
      <w:r w:rsidRPr="00097363">
        <w:rPr>
          <w:rFonts w:ascii="Calibri" w:eastAsia="Times New Roman" w:hAnsi="Calibri" w:cs="Calibri"/>
          <w:b/>
          <w:bCs/>
          <w:kern w:val="0"/>
          <w:lang w:eastAsia="it-IT"/>
          <w14:ligatures w14:val="none"/>
        </w:rPr>
        <w:t>Global Village</w:t>
      </w:r>
      <w:r w:rsidRPr="00097363">
        <w:rPr>
          <w:rFonts w:ascii="Calibri" w:eastAsia="Times New Roman" w:hAnsi="Calibri" w:cs="Calibri"/>
          <w:kern w:val="0"/>
          <w:lang w:eastAsia="it-IT"/>
          <w14:ligatures w14:val="none"/>
        </w:rPr>
        <w:t xml:space="preserve">, the B2B marketplace for tour operators, transportation, and distribution services. Among the special projects not to be missed is Nautical Tourism, </w:t>
      </w:r>
      <w:r w:rsidRPr="00097363">
        <w:rPr>
          <w:rFonts w:ascii="Calibri" w:eastAsia="Times New Roman" w:hAnsi="Calibri" w:cs="Calibri"/>
          <w:kern w:val="0"/>
          <w:lang w:eastAsia="it-IT"/>
          <w14:ligatures w14:val="none"/>
        </w:rPr>
        <w:lastRenderedPageBreak/>
        <w:t>an area entirely dedicated to the maritime industry: from charters to cruises, from marinas to coastal reserves, a space that celebrates maritime experiences and those who make them possible. And once again, the</w:t>
      </w:r>
      <w:r w:rsidRPr="00097363">
        <w:rPr>
          <w:rFonts w:ascii="Calibri" w:eastAsia="Times New Roman" w:hAnsi="Calibri" w:cs="Calibri"/>
          <w:b/>
          <w:bCs/>
          <w:kern w:val="0"/>
          <w:lang w:eastAsia="it-IT"/>
          <w14:ligatures w14:val="none"/>
        </w:rPr>
        <w:t xml:space="preserve"> African Village </w:t>
      </w:r>
      <w:r w:rsidRPr="00097363">
        <w:rPr>
          <w:rFonts w:ascii="Calibri" w:eastAsia="Times New Roman" w:hAnsi="Calibri" w:cs="Calibri"/>
          <w:kern w:val="0"/>
          <w:lang w:eastAsia="it-IT"/>
          <w14:ligatures w14:val="none"/>
        </w:rPr>
        <w:t xml:space="preserve">returns, showcasing operators and destinations in sub-Saharan Africa. 2025 also marks the debut of </w:t>
      </w:r>
      <w:r w:rsidRPr="00097363">
        <w:rPr>
          <w:rFonts w:ascii="Calibri" w:eastAsia="Times New Roman" w:hAnsi="Calibri" w:cs="Calibri"/>
          <w:b/>
          <w:bCs/>
          <w:kern w:val="0"/>
          <w:lang w:eastAsia="it-IT"/>
          <w14:ligatures w14:val="none"/>
        </w:rPr>
        <w:t>Hotel Chains</w:t>
      </w:r>
      <w:r w:rsidRPr="00097363">
        <w:rPr>
          <w:rFonts w:ascii="Calibri" w:eastAsia="Times New Roman" w:hAnsi="Calibri" w:cs="Calibri"/>
          <w:kern w:val="0"/>
          <w:lang w:eastAsia="it-IT"/>
          <w14:ligatures w14:val="none"/>
        </w:rPr>
        <w:t>, a multi-location exhibition itinerary highlighting the most prominent national and international hotel chains. Dedicated panels, digital visibility, and exclusive content transform the visit into a journey through the leading hotel brands, offering the opportunity to learn about their development strategies and network in dedicated arenas.</w:t>
      </w:r>
    </w:p>
    <w:p w14:paraId="7E920AA0" w14:textId="71666167" w:rsidR="00B16450" w:rsidRPr="00097363" w:rsidRDefault="00B16450" w:rsidP="001547C6">
      <w:pPr>
        <w:spacing w:before="100" w:beforeAutospacing="1" w:after="100" w:afterAutospacing="1" w:line="240" w:lineRule="auto"/>
        <w:jc w:val="both"/>
        <w:rPr>
          <w:rFonts w:ascii="Calibri" w:eastAsia="Times New Roman" w:hAnsi="Calibri" w:cs="Calibri"/>
          <w:kern w:val="0"/>
          <w:lang w:eastAsia="it-IT"/>
          <w14:ligatures w14:val="none"/>
        </w:rPr>
      </w:pPr>
      <w:r w:rsidRPr="00097363">
        <w:rPr>
          <w:rFonts w:ascii="Calibri" w:eastAsia="Times New Roman" w:hAnsi="Calibri" w:cs="Calibri"/>
          <w:kern w:val="0"/>
          <w:lang w:eastAsia="it-IT"/>
          <w14:ligatures w14:val="none"/>
        </w:rPr>
        <w:t xml:space="preserve"> </w:t>
      </w:r>
      <w:r w:rsidRPr="00097363">
        <w:rPr>
          <w:rFonts w:ascii="Calibri" w:eastAsia="Times New Roman" w:hAnsi="Calibri" w:cs="Calibri"/>
          <w:kern w:val="0"/>
          <w:lang w:eastAsia="it-IT"/>
          <w14:ligatures w14:val="none"/>
        </w:rPr>
        <w:br/>
        <w:t xml:space="preserve">There's also room for innovation with </w:t>
      </w:r>
      <w:r w:rsidRPr="00097363">
        <w:rPr>
          <w:rFonts w:ascii="Calibri" w:eastAsia="Times New Roman" w:hAnsi="Calibri" w:cs="Calibri"/>
          <w:b/>
          <w:bCs/>
          <w:kern w:val="0"/>
          <w:lang w:eastAsia="it-IT"/>
          <w14:ligatures w14:val="none"/>
        </w:rPr>
        <w:t>TTG Next Startup</w:t>
      </w:r>
      <w:r w:rsidRPr="00097363">
        <w:rPr>
          <w:rFonts w:ascii="Calibri" w:eastAsia="Times New Roman" w:hAnsi="Calibri" w:cs="Calibri"/>
          <w:kern w:val="0"/>
          <w:lang w:eastAsia="it-IT"/>
          <w14:ligatures w14:val="none"/>
        </w:rPr>
        <w:t xml:space="preserve">, the district that this year hosts 60 Italian and European startups. Here, in the </w:t>
      </w:r>
      <w:r w:rsidRPr="00097363">
        <w:rPr>
          <w:rFonts w:ascii="Calibri" w:eastAsia="Times New Roman" w:hAnsi="Calibri" w:cs="Calibri"/>
          <w:b/>
          <w:bCs/>
          <w:kern w:val="0"/>
          <w:lang w:eastAsia="it-IT"/>
          <w14:ligatures w14:val="none"/>
        </w:rPr>
        <w:t>TTG Next Start Up Arena</w:t>
      </w:r>
      <w:r w:rsidRPr="00097363">
        <w:rPr>
          <w:rFonts w:ascii="Calibri" w:eastAsia="Times New Roman" w:hAnsi="Calibri" w:cs="Calibri"/>
          <w:kern w:val="0"/>
          <w:lang w:eastAsia="it-IT"/>
          <w14:ligatures w14:val="none"/>
        </w:rPr>
        <w:t>, the TTG Next 2025 Award will also be presented</w:t>
      </w:r>
      <w:r w:rsidR="00097363" w:rsidRPr="00097363">
        <w:rPr>
          <w:rFonts w:ascii="Calibri" w:eastAsia="Times New Roman" w:hAnsi="Calibri" w:cs="Calibri"/>
          <w:kern w:val="0"/>
          <w:lang w:eastAsia="it-IT"/>
          <w14:ligatures w14:val="none"/>
        </w:rPr>
        <w:t xml:space="preserve"> to </w:t>
      </w:r>
      <w:r w:rsidRPr="00097363">
        <w:rPr>
          <w:rFonts w:ascii="Calibri" w:eastAsia="Times New Roman" w:hAnsi="Calibri" w:cs="Calibri"/>
          <w:kern w:val="0"/>
          <w:lang w:eastAsia="it-IT"/>
          <w14:ligatures w14:val="none"/>
        </w:rPr>
        <w:t xml:space="preserve">the most innovative projects in the </w:t>
      </w:r>
      <w:r w:rsidR="00097363" w:rsidRPr="00097363">
        <w:rPr>
          <w:rFonts w:ascii="Calibri" w:eastAsia="Times New Roman" w:hAnsi="Calibri" w:cs="Calibri"/>
          <w:kern w:val="0"/>
          <w:lang w:eastAsia="it-IT"/>
          <w14:ligatures w14:val="none"/>
        </w:rPr>
        <w:t>industry.</w:t>
      </w:r>
    </w:p>
    <w:p w14:paraId="5877D918" w14:textId="61C2EDBE" w:rsidR="004E5E3A" w:rsidRPr="00097363" w:rsidRDefault="004E5E3A" w:rsidP="004E5E3A">
      <w:pPr>
        <w:jc w:val="both"/>
        <w:rPr>
          <w:b/>
          <w:bCs/>
          <w:sz w:val="18"/>
          <w:szCs w:val="18"/>
        </w:rPr>
      </w:pPr>
      <w:r w:rsidRPr="00097363">
        <w:rPr>
          <w:b/>
          <w:bCs/>
          <w:sz w:val="18"/>
          <w:szCs w:val="18"/>
        </w:rPr>
        <w:t>ABOUT TTG TRAVEL EXPERIENCE – INOUT | The Hospitality Community</w:t>
      </w:r>
    </w:p>
    <w:p w14:paraId="54788B29" w14:textId="77777777" w:rsidR="00097363" w:rsidRPr="00097363" w:rsidRDefault="00097363" w:rsidP="00097363">
      <w:pPr>
        <w:jc w:val="both"/>
        <w:rPr>
          <w:rFonts w:ascii="Calibri" w:hAnsi="Calibri" w:cs="Calibri"/>
          <w:sz w:val="20"/>
          <w:szCs w:val="20"/>
        </w:rPr>
      </w:pPr>
      <w:r w:rsidRPr="00097363">
        <w:rPr>
          <w:rFonts w:ascii="Calibri" w:hAnsi="Calibri" w:cs="Calibri"/>
          <w:b/>
          <w:bCs/>
          <w:sz w:val="20"/>
          <w:szCs w:val="20"/>
        </w:rPr>
        <w:t>Event</w:t>
      </w:r>
      <w:r w:rsidRPr="00097363">
        <w:rPr>
          <w:rFonts w:ascii="Calibri" w:hAnsi="Calibri" w:cs="Calibri"/>
          <w:sz w:val="20"/>
          <w:szCs w:val="20"/>
        </w:rPr>
        <w:t xml:space="preserve">: international trade show; </w:t>
      </w:r>
      <w:r w:rsidRPr="00097363">
        <w:rPr>
          <w:rFonts w:ascii="Calibri" w:hAnsi="Calibri" w:cs="Calibri"/>
          <w:b/>
          <w:bCs/>
          <w:sz w:val="20"/>
          <w:szCs w:val="20"/>
        </w:rPr>
        <w:t>organiser</w:t>
      </w:r>
      <w:r w:rsidRPr="00097363">
        <w:rPr>
          <w:rFonts w:ascii="Calibri" w:hAnsi="Calibri" w:cs="Calibri"/>
          <w:sz w:val="20"/>
          <w:szCs w:val="20"/>
        </w:rPr>
        <w:t xml:space="preserve">: Italian Exhibition Group SpA; </w:t>
      </w:r>
      <w:r w:rsidRPr="00097363">
        <w:rPr>
          <w:rFonts w:ascii="Calibri" w:hAnsi="Calibri" w:cs="Calibri"/>
          <w:b/>
          <w:bCs/>
          <w:sz w:val="20"/>
          <w:szCs w:val="20"/>
        </w:rPr>
        <w:t>frequency</w:t>
      </w:r>
      <w:r w:rsidRPr="00097363">
        <w:rPr>
          <w:rFonts w:ascii="Calibri" w:hAnsi="Calibri" w:cs="Calibri"/>
          <w:sz w:val="20"/>
          <w:szCs w:val="20"/>
        </w:rPr>
        <w:t xml:space="preserve">: annual; </w:t>
      </w:r>
      <w:r w:rsidRPr="00097363">
        <w:rPr>
          <w:rFonts w:ascii="Calibri" w:hAnsi="Calibri" w:cs="Calibri"/>
          <w:b/>
          <w:bCs/>
          <w:sz w:val="20"/>
          <w:szCs w:val="20"/>
        </w:rPr>
        <w:t>edition</w:t>
      </w:r>
      <w:r w:rsidRPr="00097363">
        <w:rPr>
          <w:rFonts w:ascii="Calibri" w:hAnsi="Calibri" w:cs="Calibri"/>
          <w:sz w:val="20"/>
          <w:szCs w:val="20"/>
        </w:rPr>
        <w:t>: 62</w:t>
      </w:r>
      <w:r w:rsidRPr="00097363">
        <w:rPr>
          <w:rFonts w:ascii="Calibri" w:hAnsi="Calibri" w:cs="Calibri"/>
          <w:sz w:val="20"/>
          <w:szCs w:val="20"/>
          <w:vertAlign w:val="superscript"/>
        </w:rPr>
        <w:t>nd</w:t>
      </w:r>
      <w:r w:rsidRPr="00097363">
        <w:rPr>
          <w:rFonts w:ascii="Calibri" w:hAnsi="Calibri" w:cs="Calibri"/>
          <w:sz w:val="20"/>
          <w:szCs w:val="20"/>
        </w:rPr>
        <w:t xml:space="preserve">; </w:t>
      </w:r>
      <w:r w:rsidRPr="00097363">
        <w:rPr>
          <w:rFonts w:ascii="Calibri" w:hAnsi="Calibri" w:cs="Calibri"/>
          <w:b/>
          <w:bCs/>
          <w:sz w:val="20"/>
          <w:szCs w:val="20"/>
        </w:rPr>
        <w:t>open to</w:t>
      </w:r>
      <w:r w:rsidRPr="00097363">
        <w:rPr>
          <w:rFonts w:ascii="Calibri" w:hAnsi="Calibri" w:cs="Calibri"/>
          <w:sz w:val="20"/>
          <w:szCs w:val="20"/>
        </w:rPr>
        <w:t xml:space="preserve">: trade only; </w:t>
      </w:r>
      <w:r w:rsidRPr="00097363">
        <w:rPr>
          <w:rFonts w:ascii="Calibri" w:hAnsi="Calibri" w:cs="Calibri"/>
          <w:b/>
          <w:bCs/>
          <w:sz w:val="20"/>
          <w:szCs w:val="20"/>
        </w:rPr>
        <w:t>website</w:t>
      </w:r>
      <w:r w:rsidRPr="00097363">
        <w:rPr>
          <w:rFonts w:ascii="Calibri" w:hAnsi="Calibri" w:cs="Calibri"/>
          <w:sz w:val="20"/>
          <w:szCs w:val="20"/>
        </w:rPr>
        <w:t>: </w:t>
      </w:r>
      <w:hyperlink r:id="rId8" w:tooltip="´web" w:history="1">
        <w:r w:rsidRPr="00097363">
          <w:rPr>
            <w:rStyle w:val="Collegamentoipertestuale"/>
            <w:rFonts w:ascii="Calibri" w:hAnsi="Calibri" w:cs="Calibri"/>
            <w:sz w:val="20"/>
            <w:szCs w:val="20"/>
          </w:rPr>
          <w:t>www.ttgexpo.it</w:t>
        </w:r>
      </w:hyperlink>
      <w:r w:rsidRPr="00097363">
        <w:rPr>
          <w:rFonts w:ascii="Calibri" w:hAnsi="Calibri" w:cs="Calibri"/>
          <w:sz w:val="20"/>
          <w:szCs w:val="20"/>
        </w:rPr>
        <w:t> </w:t>
      </w:r>
      <w:hyperlink r:id="rId9" w:history="1">
        <w:r w:rsidRPr="00097363">
          <w:rPr>
            <w:rStyle w:val="Collegamentoipertestuale"/>
            <w:rFonts w:ascii="Calibri" w:hAnsi="Calibri" w:cs="Calibri"/>
            <w:sz w:val="20"/>
            <w:szCs w:val="20"/>
          </w:rPr>
          <w:t>www.inoutexpo.it</w:t>
        </w:r>
      </w:hyperlink>
      <w:r w:rsidRPr="00097363">
        <w:rPr>
          <w:rFonts w:ascii="Calibri" w:hAnsi="Calibri" w:cs="Calibri"/>
          <w:sz w:val="20"/>
          <w:szCs w:val="20"/>
        </w:rPr>
        <w:t xml:space="preserve">  </w:t>
      </w:r>
    </w:p>
    <w:p w14:paraId="11D78BA5" w14:textId="77777777" w:rsidR="004E5E3A" w:rsidRPr="00097363" w:rsidRDefault="004E5E3A" w:rsidP="004E5E3A">
      <w:pPr>
        <w:jc w:val="both"/>
        <w:rPr>
          <w:b/>
          <w:bCs/>
          <w:sz w:val="18"/>
          <w:szCs w:val="18"/>
        </w:rPr>
      </w:pPr>
      <w:r w:rsidRPr="00097363">
        <w:rPr>
          <w:b/>
          <w:bCs/>
          <w:sz w:val="18"/>
          <w:szCs w:val="18"/>
        </w:rPr>
        <w:t>PRESS CONTACT IEG, TTG TRAVEL EXPERIENCE</w:t>
      </w:r>
    </w:p>
    <w:p w14:paraId="1514FACE" w14:textId="77777777" w:rsidR="004E5E3A" w:rsidRPr="005C4DB1" w:rsidRDefault="004E5E3A" w:rsidP="004E5E3A">
      <w:pPr>
        <w:jc w:val="both"/>
        <w:rPr>
          <w:sz w:val="18"/>
          <w:szCs w:val="18"/>
          <w:lang w:val="it-IT"/>
        </w:rPr>
      </w:pPr>
      <w:r w:rsidRPr="005C4DB1">
        <w:rPr>
          <w:sz w:val="18"/>
          <w:szCs w:val="18"/>
          <w:lang w:val="it-IT"/>
        </w:rPr>
        <w:t>Elisabetta Vitali, head of corporate communication &amp; media relation; Marco Forcellini, Pier Francesco Bellini, press office manager</w:t>
      </w:r>
    </w:p>
    <w:p w14:paraId="057196E6" w14:textId="12D3B795" w:rsidR="004E5E3A" w:rsidRPr="00097363" w:rsidRDefault="004E5E3A" w:rsidP="004E5E3A">
      <w:pPr>
        <w:jc w:val="both"/>
        <w:rPr>
          <w:sz w:val="18"/>
          <w:szCs w:val="18"/>
          <w:u w:val="single"/>
        </w:rPr>
      </w:pPr>
      <w:hyperlink r:id="rId10" w:history="1">
        <w:r w:rsidRPr="00097363">
          <w:rPr>
            <w:rStyle w:val="Collegamentoipertestuale"/>
            <w:sz w:val="18"/>
            <w:szCs w:val="18"/>
          </w:rPr>
          <w:t>media@iegexpo.it</w:t>
        </w:r>
      </w:hyperlink>
    </w:p>
    <w:p w14:paraId="71B6989E" w14:textId="77777777" w:rsidR="004E5E3A" w:rsidRPr="00097363" w:rsidRDefault="004E5E3A" w:rsidP="004E5E3A">
      <w:pPr>
        <w:jc w:val="both"/>
        <w:rPr>
          <w:sz w:val="18"/>
          <w:szCs w:val="18"/>
          <w:u w:val="single"/>
        </w:rPr>
      </w:pPr>
      <w:r w:rsidRPr="00097363">
        <w:rPr>
          <w:b/>
          <w:bCs/>
          <w:sz w:val="18"/>
          <w:szCs w:val="18"/>
        </w:rPr>
        <w:t>MEDIA AGENCY TTG TRAVEL EXPERIENCE</w:t>
      </w:r>
    </w:p>
    <w:p w14:paraId="67C5962C" w14:textId="191287A1" w:rsidR="004E5E3A" w:rsidRPr="005C4DB1" w:rsidRDefault="004E5E3A" w:rsidP="004E5E3A">
      <w:pPr>
        <w:jc w:val="both"/>
        <w:rPr>
          <w:sz w:val="18"/>
          <w:szCs w:val="18"/>
          <w:u w:val="single"/>
          <w:lang w:val="it-IT"/>
        </w:rPr>
      </w:pPr>
      <w:r w:rsidRPr="005C4DB1">
        <w:rPr>
          <w:sz w:val="18"/>
          <w:szCs w:val="18"/>
          <w:lang w:val="it-IT"/>
        </w:rPr>
        <w:t xml:space="preserve">Martina Vacca: </w:t>
      </w:r>
      <w:hyperlink r:id="rId11" w:history="1">
        <w:r w:rsidRPr="005C4DB1">
          <w:rPr>
            <w:rStyle w:val="Collegamentoipertestuale"/>
            <w:sz w:val="18"/>
            <w:szCs w:val="18"/>
            <w:lang w:val="it-IT"/>
          </w:rPr>
          <w:t>martina@mindthepop.it</w:t>
        </w:r>
      </w:hyperlink>
      <w:r w:rsidRPr="005C4DB1">
        <w:rPr>
          <w:sz w:val="18"/>
          <w:szCs w:val="18"/>
          <w:lang w:val="it-IT"/>
        </w:rPr>
        <w:t xml:space="preserve">, mob. +39 339 748 </w:t>
      </w:r>
      <w:r w:rsidR="00790F19" w:rsidRPr="005C4DB1">
        <w:rPr>
          <w:sz w:val="18"/>
          <w:szCs w:val="18"/>
          <w:lang w:val="it-IT"/>
        </w:rPr>
        <w:t>5</w:t>
      </w:r>
      <w:r w:rsidRPr="005C4DB1">
        <w:rPr>
          <w:sz w:val="18"/>
          <w:szCs w:val="18"/>
          <w:lang w:val="it-IT"/>
        </w:rPr>
        <w:t xml:space="preserve">994; Fabrizio Raimondi: </w:t>
      </w:r>
      <w:hyperlink r:id="rId12" w:history="1">
        <w:r w:rsidRPr="005C4DB1">
          <w:rPr>
            <w:rStyle w:val="Collegamentoipertestuale"/>
            <w:sz w:val="18"/>
            <w:szCs w:val="18"/>
            <w:lang w:val="it-IT"/>
          </w:rPr>
          <w:t>fabrizio@mindthepop.it</w:t>
        </w:r>
      </w:hyperlink>
      <w:r w:rsidRPr="005C4DB1">
        <w:rPr>
          <w:sz w:val="18"/>
          <w:szCs w:val="18"/>
          <w:lang w:val="it-IT"/>
        </w:rPr>
        <w:t xml:space="preserve">, mob. +39 335 389 848; Benedetto Colli: </w:t>
      </w:r>
      <w:hyperlink r:id="rId13" w:history="1">
        <w:r w:rsidRPr="005C4DB1">
          <w:rPr>
            <w:rStyle w:val="Collegamentoipertestuale"/>
            <w:sz w:val="18"/>
            <w:szCs w:val="18"/>
            <w:lang w:val="it-IT"/>
          </w:rPr>
          <w:t>benedetto@mindthepop.it</w:t>
        </w:r>
      </w:hyperlink>
      <w:r w:rsidRPr="005C4DB1">
        <w:rPr>
          <w:sz w:val="18"/>
          <w:szCs w:val="18"/>
          <w:lang w:val="it-IT"/>
        </w:rPr>
        <w:t xml:space="preserve">, mob. 380 371 2272; Stefano Chiossi: </w:t>
      </w:r>
      <w:hyperlink r:id="rId14" w:history="1">
        <w:r w:rsidRPr="005C4DB1">
          <w:rPr>
            <w:rStyle w:val="Collegamentoipertestuale"/>
            <w:sz w:val="18"/>
            <w:szCs w:val="18"/>
            <w:lang w:val="it-IT"/>
          </w:rPr>
          <w:t>stefano@mindthepop.it</w:t>
        </w:r>
      </w:hyperlink>
      <w:r w:rsidRPr="005C4DB1">
        <w:rPr>
          <w:sz w:val="18"/>
          <w:szCs w:val="18"/>
          <w:lang w:val="it-IT"/>
        </w:rPr>
        <w:t>, mob. + 39 388 739 4358.</w:t>
      </w:r>
    </w:p>
    <w:p w14:paraId="221F0C39" w14:textId="77F8FB6B" w:rsidR="004E5E3A" w:rsidRDefault="004E5E3A" w:rsidP="004E5E3A">
      <w:pPr>
        <w:jc w:val="both"/>
        <w:rPr>
          <w:lang w:val="it-IT"/>
        </w:rPr>
      </w:pPr>
    </w:p>
    <w:p w14:paraId="64071FA8" w14:textId="77777777" w:rsidR="005C4DB1" w:rsidRDefault="005C4DB1" w:rsidP="005C4DB1">
      <w:pPr>
        <w:jc w:val="both"/>
      </w:pPr>
      <w:r w:rsidRPr="009F59BD">
        <w:rPr>
          <w:noProof/>
        </w:rPr>
        <w:drawing>
          <wp:inline distT="0" distB="0" distL="0" distR="0" wp14:anchorId="04FE4B05" wp14:editId="2A90BE0C">
            <wp:extent cx="5280660" cy="1645920"/>
            <wp:effectExtent l="0" t="0" r="0" b="0"/>
            <wp:docPr id="45623627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00565E71" w14:textId="77777777" w:rsidR="005C4DB1" w:rsidRDefault="005C4DB1" w:rsidP="005C4DB1">
      <w:pPr>
        <w:jc w:val="both"/>
      </w:pPr>
    </w:p>
    <w:p w14:paraId="0C71CE26" w14:textId="77777777" w:rsidR="005C4DB1" w:rsidRPr="0040444A" w:rsidRDefault="005C4DB1" w:rsidP="005C4DB1">
      <w:pPr>
        <w:spacing w:after="0" w:line="240" w:lineRule="auto"/>
        <w:jc w:val="both"/>
        <w:rPr>
          <w:sz w:val="16"/>
          <w:szCs w:val="16"/>
        </w:rPr>
      </w:pPr>
      <w:r w:rsidRPr="0040444A">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40444A">
        <w:rPr>
          <w:rFonts w:cs="Calibri"/>
          <w:sz w:val="16"/>
          <w:szCs w:val="16"/>
        </w:rPr>
        <w:t>complete, and</w:t>
      </w:r>
      <w:proofErr w:type="gramEnd"/>
      <w:r w:rsidRPr="0040444A">
        <w:rPr>
          <w:rFonts w:cs="Calibri"/>
          <w:sz w:val="16"/>
          <w:szCs w:val="16"/>
        </w:rPr>
        <w:t xml:space="preserve"> has not been verified by independent third parties. Forecasts, estimates and objectives contained herein are based on the information available to the Company as at the date of this release. </w:t>
      </w:r>
    </w:p>
    <w:p w14:paraId="1D29B4BB" w14:textId="77777777" w:rsidR="005C4DB1" w:rsidRPr="005C4DB1" w:rsidRDefault="005C4DB1" w:rsidP="004E5E3A">
      <w:pPr>
        <w:jc w:val="both"/>
      </w:pPr>
    </w:p>
    <w:sectPr w:rsidR="005C4DB1" w:rsidRPr="005C4DB1">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B05B" w14:textId="77777777" w:rsidR="003749E5" w:rsidRDefault="003749E5" w:rsidP="00D32287">
      <w:pPr>
        <w:spacing w:after="0" w:line="240" w:lineRule="auto"/>
      </w:pPr>
      <w:r>
        <w:separator/>
      </w:r>
    </w:p>
  </w:endnote>
  <w:endnote w:type="continuationSeparator" w:id="0">
    <w:p w14:paraId="05923DA5" w14:textId="77777777" w:rsidR="003749E5" w:rsidRDefault="003749E5"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F9A3" w14:textId="77777777" w:rsidR="003749E5" w:rsidRDefault="003749E5" w:rsidP="00D32287">
      <w:pPr>
        <w:spacing w:after="0" w:line="240" w:lineRule="auto"/>
      </w:pPr>
      <w:r>
        <w:separator/>
      </w:r>
    </w:p>
  </w:footnote>
  <w:footnote w:type="continuationSeparator" w:id="0">
    <w:p w14:paraId="01434E80" w14:textId="77777777" w:rsidR="003749E5" w:rsidRDefault="003749E5"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3"/>
  </w:num>
  <w:num w:numId="4" w16cid:durableId="614606354">
    <w:abstractNumId w:val="2"/>
  </w:num>
  <w:num w:numId="5" w16cid:durableId="138159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5F3D"/>
    <w:rsid w:val="000166AE"/>
    <w:rsid w:val="00023EDB"/>
    <w:rsid w:val="00027D8E"/>
    <w:rsid w:val="00043210"/>
    <w:rsid w:val="0004795F"/>
    <w:rsid w:val="000506EF"/>
    <w:rsid w:val="00050F5C"/>
    <w:rsid w:val="00054950"/>
    <w:rsid w:val="00060FBA"/>
    <w:rsid w:val="00085BF7"/>
    <w:rsid w:val="00091370"/>
    <w:rsid w:val="000942C4"/>
    <w:rsid w:val="00097363"/>
    <w:rsid w:val="000A0D30"/>
    <w:rsid w:val="000A2373"/>
    <w:rsid w:val="000A575A"/>
    <w:rsid w:val="000B38AD"/>
    <w:rsid w:val="000B627E"/>
    <w:rsid w:val="000C23A1"/>
    <w:rsid w:val="000C666A"/>
    <w:rsid w:val="000C7EB6"/>
    <w:rsid w:val="000D5718"/>
    <w:rsid w:val="000D6F62"/>
    <w:rsid w:val="000E39AB"/>
    <w:rsid w:val="000E6CBF"/>
    <w:rsid w:val="000F5DB2"/>
    <w:rsid w:val="001148C5"/>
    <w:rsid w:val="00135538"/>
    <w:rsid w:val="001364CD"/>
    <w:rsid w:val="001437E7"/>
    <w:rsid w:val="001547C6"/>
    <w:rsid w:val="00154ED4"/>
    <w:rsid w:val="00157437"/>
    <w:rsid w:val="00160C3C"/>
    <w:rsid w:val="00166E89"/>
    <w:rsid w:val="0017179E"/>
    <w:rsid w:val="00175571"/>
    <w:rsid w:val="001A17C5"/>
    <w:rsid w:val="001A2FD7"/>
    <w:rsid w:val="001B0369"/>
    <w:rsid w:val="001B58C1"/>
    <w:rsid w:val="001C08E8"/>
    <w:rsid w:val="001C0946"/>
    <w:rsid w:val="001C5A02"/>
    <w:rsid w:val="001F0D2E"/>
    <w:rsid w:val="001F4BFE"/>
    <w:rsid w:val="001F5C1E"/>
    <w:rsid w:val="001F7C06"/>
    <w:rsid w:val="00200379"/>
    <w:rsid w:val="00211A24"/>
    <w:rsid w:val="00243B07"/>
    <w:rsid w:val="00254923"/>
    <w:rsid w:val="00260CE2"/>
    <w:rsid w:val="00263C53"/>
    <w:rsid w:val="00272A3A"/>
    <w:rsid w:val="002758B6"/>
    <w:rsid w:val="00277620"/>
    <w:rsid w:val="00282FCE"/>
    <w:rsid w:val="00285785"/>
    <w:rsid w:val="00287889"/>
    <w:rsid w:val="00290D02"/>
    <w:rsid w:val="00294AE9"/>
    <w:rsid w:val="002A05B5"/>
    <w:rsid w:val="002A49E4"/>
    <w:rsid w:val="002B2AF0"/>
    <w:rsid w:val="002D22C9"/>
    <w:rsid w:val="002F48B6"/>
    <w:rsid w:val="00300EA7"/>
    <w:rsid w:val="00314CAB"/>
    <w:rsid w:val="003356D7"/>
    <w:rsid w:val="0034253A"/>
    <w:rsid w:val="00344E96"/>
    <w:rsid w:val="003454C7"/>
    <w:rsid w:val="00347500"/>
    <w:rsid w:val="003503C5"/>
    <w:rsid w:val="00351D6A"/>
    <w:rsid w:val="0035210C"/>
    <w:rsid w:val="00354D63"/>
    <w:rsid w:val="00363AB4"/>
    <w:rsid w:val="00364189"/>
    <w:rsid w:val="003749E5"/>
    <w:rsid w:val="00384359"/>
    <w:rsid w:val="003851EE"/>
    <w:rsid w:val="00393442"/>
    <w:rsid w:val="0039451C"/>
    <w:rsid w:val="00395EDC"/>
    <w:rsid w:val="003A1666"/>
    <w:rsid w:val="003B6821"/>
    <w:rsid w:val="003C0B92"/>
    <w:rsid w:val="003C1E5C"/>
    <w:rsid w:val="003C3F73"/>
    <w:rsid w:val="003C4B4D"/>
    <w:rsid w:val="003D3CF4"/>
    <w:rsid w:val="003D54B6"/>
    <w:rsid w:val="003E1951"/>
    <w:rsid w:val="003E2E20"/>
    <w:rsid w:val="003F248A"/>
    <w:rsid w:val="003F41A0"/>
    <w:rsid w:val="00412389"/>
    <w:rsid w:val="00417E58"/>
    <w:rsid w:val="00423B37"/>
    <w:rsid w:val="0043315B"/>
    <w:rsid w:val="0043469B"/>
    <w:rsid w:val="00435256"/>
    <w:rsid w:val="00444E30"/>
    <w:rsid w:val="00451C25"/>
    <w:rsid w:val="00456B88"/>
    <w:rsid w:val="00465D7C"/>
    <w:rsid w:val="00465F95"/>
    <w:rsid w:val="004737FC"/>
    <w:rsid w:val="00481657"/>
    <w:rsid w:val="00482E6A"/>
    <w:rsid w:val="004946CB"/>
    <w:rsid w:val="0049494C"/>
    <w:rsid w:val="004A1A67"/>
    <w:rsid w:val="004A3E17"/>
    <w:rsid w:val="004B5D7E"/>
    <w:rsid w:val="004B63EE"/>
    <w:rsid w:val="004D06CD"/>
    <w:rsid w:val="004D18CB"/>
    <w:rsid w:val="004E5AD0"/>
    <w:rsid w:val="004E5E3A"/>
    <w:rsid w:val="004F6310"/>
    <w:rsid w:val="004F7DC8"/>
    <w:rsid w:val="00507928"/>
    <w:rsid w:val="00522BCC"/>
    <w:rsid w:val="005234F8"/>
    <w:rsid w:val="005235C9"/>
    <w:rsid w:val="00524B3D"/>
    <w:rsid w:val="00530963"/>
    <w:rsid w:val="005313B9"/>
    <w:rsid w:val="00542E2E"/>
    <w:rsid w:val="005516B0"/>
    <w:rsid w:val="00557E6F"/>
    <w:rsid w:val="00572508"/>
    <w:rsid w:val="00585975"/>
    <w:rsid w:val="00587269"/>
    <w:rsid w:val="0059095E"/>
    <w:rsid w:val="00591E46"/>
    <w:rsid w:val="005A5646"/>
    <w:rsid w:val="005A7FBB"/>
    <w:rsid w:val="005B36CA"/>
    <w:rsid w:val="005B5FA5"/>
    <w:rsid w:val="005C4DB1"/>
    <w:rsid w:val="005D3EFB"/>
    <w:rsid w:val="005D5165"/>
    <w:rsid w:val="005D5725"/>
    <w:rsid w:val="005E33D3"/>
    <w:rsid w:val="005E44B5"/>
    <w:rsid w:val="005F3E9C"/>
    <w:rsid w:val="006203E0"/>
    <w:rsid w:val="006327D7"/>
    <w:rsid w:val="00636446"/>
    <w:rsid w:val="00670424"/>
    <w:rsid w:val="00675E96"/>
    <w:rsid w:val="00682E1A"/>
    <w:rsid w:val="006907E9"/>
    <w:rsid w:val="00695B5D"/>
    <w:rsid w:val="006A0FA9"/>
    <w:rsid w:val="006A25CC"/>
    <w:rsid w:val="006A3CEB"/>
    <w:rsid w:val="006A5158"/>
    <w:rsid w:val="006A6040"/>
    <w:rsid w:val="006A6FC5"/>
    <w:rsid w:val="006B0797"/>
    <w:rsid w:val="006B5475"/>
    <w:rsid w:val="006D3EC4"/>
    <w:rsid w:val="006D5FB6"/>
    <w:rsid w:val="006F5292"/>
    <w:rsid w:val="006F75C9"/>
    <w:rsid w:val="007015AE"/>
    <w:rsid w:val="00722609"/>
    <w:rsid w:val="00747CBD"/>
    <w:rsid w:val="00750819"/>
    <w:rsid w:val="00753ED5"/>
    <w:rsid w:val="00757AFF"/>
    <w:rsid w:val="00767C82"/>
    <w:rsid w:val="00774381"/>
    <w:rsid w:val="0077446F"/>
    <w:rsid w:val="00777512"/>
    <w:rsid w:val="007808CD"/>
    <w:rsid w:val="00780CE7"/>
    <w:rsid w:val="00783DD6"/>
    <w:rsid w:val="007862F0"/>
    <w:rsid w:val="00790F19"/>
    <w:rsid w:val="00793019"/>
    <w:rsid w:val="007C539A"/>
    <w:rsid w:val="007D2954"/>
    <w:rsid w:val="00802AE9"/>
    <w:rsid w:val="00810487"/>
    <w:rsid w:val="00814F93"/>
    <w:rsid w:val="00815807"/>
    <w:rsid w:val="00817768"/>
    <w:rsid w:val="00825244"/>
    <w:rsid w:val="00826EFB"/>
    <w:rsid w:val="00826F2F"/>
    <w:rsid w:val="008351CB"/>
    <w:rsid w:val="00837F04"/>
    <w:rsid w:val="00845B2D"/>
    <w:rsid w:val="008510E0"/>
    <w:rsid w:val="008573FC"/>
    <w:rsid w:val="00861C00"/>
    <w:rsid w:val="00865A6C"/>
    <w:rsid w:val="00866B13"/>
    <w:rsid w:val="00866FFB"/>
    <w:rsid w:val="008718F5"/>
    <w:rsid w:val="00871F78"/>
    <w:rsid w:val="00877232"/>
    <w:rsid w:val="0088096B"/>
    <w:rsid w:val="00882F9C"/>
    <w:rsid w:val="008841BF"/>
    <w:rsid w:val="00884B02"/>
    <w:rsid w:val="0088617B"/>
    <w:rsid w:val="00897683"/>
    <w:rsid w:val="008A294D"/>
    <w:rsid w:val="008C137D"/>
    <w:rsid w:val="008E4058"/>
    <w:rsid w:val="008E5DC1"/>
    <w:rsid w:val="008F6C7A"/>
    <w:rsid w:val="00904E02"/>
    <w:rsid w:val="0092684E"/>
    <w:rsid w:val="0092771F"/>
    <w:rsid w:val="0093213F"/>
    <w:rsid w:val="009339B1"/>
    <w:rsid w:val="00936E39"/>
    <w:rsid w:val="00956564"/>
    <w:rsid w:val="0096405A"/>
    <w:rsid w:val="00964936"/>
    <w:rsid w:val="00980A0B"/>
    <w:rsid w:val="00981E5D"/>
    <w:rsid w:val="00983262"/>
    <w:rsid w:val="00993731"/>
    <w:rsid w:val="009C1D77"/>
    <w:rsid w:val="009D7613"/>
    <w:rsid w:val="009D7C0F"/>
    <w:rsid w:val="009E5284"/>
    <w:rsid w:val="009F0AE2"/>
    <w:rsid w:val="009F6A63"/>
    <w:rsid w:val="00A177F5"/>
    <w:rsid w:val="00A24873"/>
    <w:rsid w:val="00A24AEC"/>
    <w:rsid w:val="00A33A8F"/>
    <w:rsid w:val="00A34FB0"/>
    <w:rsid w:val="00A43DF2"/>
    <w:rsid w:val="00A53692"/>
    <w:rsid w:val="00A548AC"/>
    <w:rsid w:val="00A66FF7"/>
    <w:rsid w:val="00A87394"/>
    <w:rsid w:val="00A9107B"/>
    <w:rsid w:val="00A91C8B"/>
    <w:rsid w:val="00A93A00"/>
    <w:rsid w:val="00AB0C12"/>
    <w:rsid w:val="00AB639B"/>
    <w:rsid w:val="00AB6B92"/>
    <w:rsid w:val="00AE01AA"/>
    <w:rsid w:val="00AE36E9"/>
    <w:rsid w:val="00AE4D68"/>
    <w:rsid w:val="00AF3277"/>
    <w:rsid w:val="00AF4DF7"/>
    <w:rsid w:val="00AF7995"/>
    <w:rsid w:val="00AF7DB9"/>
    <w:rsid w:val="00B056CC"/>
    <w:rsid w:val="00B16450"/>
    <w:rsid w:val="00B22342"/>
    <w:rsid w:val="00B255CB"/>
    <w:rsid w:val="00B313A5"/>
    <w:rsid w:val="00B32D81"/>
    <w:rsid w:val="00B33E78"/>
    <w:rsid w:val="00B36189"/>
    <w:rsid w:val="00B51DB1"/>
    <w:rsid w:val="00B5295A"/>
    <w:rsid w:val="00B54D17"/>
    <w:rsid w:val="00B576A4"/>
    <w:rsid w:val="00B6112A"/>
    <w:rsid w:val="00B618F4"/>
    <w:rsid w:val="00B6347F"/>
    <w:rsid w:val="00B67EB6"/>
    <w:rsid w:val="00B70DAD"/>
    <w:rsid w:val="00B84968"/>
    <w:rsid w:val="00B878A4"/>
    <w:rsid w:val="00B87CB0"/>
    <w:rsid w:val="00BA14AE"/>
    <w:rsid w:val="00BB4BBA"/>
    <w:rsid w:val="00BC34A7"/>
    <w:rsid w:val="00BC42AB"/>
    <w:rsid w:val="00BE3959"/>
    <w:rsid w:val="00BE4AEB"/>
    <w:rsid w:val="00BE4CA8"/>
    <w:rsid w:val="00BF2420"/>
    <w:rsid w:val="00BF255F"/>
    <w:rsid w:val="00C03526"/>
    <w:rsid w:val="00C05C77"/>
    <w:rsid w:val="00C07CC0"/>
    <w:rsid w:val="00C12011"/>
    <w:rsid w:val="00C1739A"/>
    <w:rsid w:val="00C463BF"/>
    <w:rsid w:val="00C46598"/>
    <w:rsid w:val="00C51247"/>
    <w:rsid w:val="00C73E22"/>
    <w:rsid w:val="00C73F15"/>
    <w:rsid w:val="00C845CF"/>
    <w:rsid w:val="00C946A1"/>
    <w:rsid w:val="00CA7427"/>
    <w:rsid w:val="00CC3B27"/>
    <w:rsid w:val="00CD394C"/>
    <w:rsid w:val="00CE084A"/>
    <w:rsid w:val="00CE58E1"/>
    <w:rsid w:val="00CE77AA"/>
    <w:rsid w:val="00CF00D1"/>
    <w:rsid w:val="00CF2D00"/>
    <w:rsid w:val="00CF5191"/>
    <w:rsid w:val="00CF5456"/>
    <w:rsid w:val="00D027C0"/>
    <w:rsid w:val="00D04DDA"/>
    <w:rsid w:val="00D204D2"/>
    <w:rsid w:val="00D207E6"/>
    <w:rsid w:val="00D2118E"/>
    <w:rsid w:val="00D274DE"/>
    <w:rsid w:val="00D30775"/>
    <w:rsid w:val="00D32287"/>
    <w:rsid w:val="00D34821"/>
    <w:rsid w:val="00D4386F"/>
    <w:rsid w:val="00D4631D"/>
    <w:rsid w:val="00D614CC"/>
    <w:rsid w:val="00D6229D"/>
    <w:rsid w:val="00D67167"/>
    <w:rsid w:val="00D757CA"/>
    <w:rsid w:val="00D86C8E"/>
    <w:rsid w:val="00D87AC5"/>
    <w:rsid w:val="00D955D5"/>
    <w:rsid w:val="00D96228"/>
    <w:rsid w:val="00DB6B98"/>
    <w:rsid w:val="00DC147E"/>
    <w:rsid w:val="00DD15DF"/>
    <w:rsid w:val="00DE02F1"/>
    <w:rsid w:val="00DE1D65"/>
    <w:rsid w:val="00DE4850"/>
    <w:rsid w:val="00DF11AA"/>
    <w:rsid w:val="00DF3CE9"/>
    <w:rsid w:val="00E00FA8"/>
    <w:rsid w:val="00E042C2"/>
    <w:rsid w:val="00E14BB6"/>
    <w:rsid w:val="00E17A3C"/>
    <w:rsid w:val="00E26884"/>
    <w:rsid w:val="00E36D3B"/>
    <w:rsid w:val="00E403F9"/>
    <w:rsid w:val="00E41EF0"/>
    <w:rsid w:val="00E51A0C"/>
    <w:rsid w:val="00E51B9A"/>
    <w:rsid w:val="00E55DF4"/>
    <w:rsid w:val="00E5784E"/>
    <w:rsid w:val="00E62B06"/>
    <w:rsid w:val="00E7179D"/>
    <w:rsid w:val="00E81067"/>
    <w:rsid w:val="00E94154"/>
    <w:rsid w:val="00EA3225"/>
    <w:rsid w:val="00EB3F5E"/>
    <w:rsid w:val="00EC1BDE"/>
    <w:rsid w:val="00EC4EFD"/>
    <w:rsid w:val="00ED5AA9"/>
    <w:rsid w:val="00EF6C86"/>
    <w:rsid w:val="00F05004"/>
    <w:rsid w:val="00F12EB2"/>
    <w:rsid w:val="00F16AF3"/>
    <w:rsid w:val="00F2460E"/>
    <w:rsid w:val="00F256F9"/>
    <w:rsid w:val="00F25AB9"/>
    <w:rsid w:val="00F36CA4"/>
    <w:rsid w:val="00F65002"/>
    <w:rsid w:val="00F77900"/>
    <w:rsid w:val="00FB15B7"/>
    <w:rsid w:val="00FB281E"/>
    <w:rsid w:val="00FB6837"/>
    <w:rsid w:val="00FC1B50"/>
    <w:rsid w:val="00FD1CF4"/>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semiHidden/>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http:/www.ttgexpo.it" TargetMode="External"/><Relationship Id="rId13" Type="http://schemas.openxmlformats.org/officeDocument/2006/relationships/hyperlink" Target="mailto:benedetto@mindthepop.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gexpo.it" TargetMode="External"/><Relationship Id="rId12" Type="http://schemas.openxmlformats.org/officeDocument/2006/relationships/hyperlink" Target="mailto:fabrizio@mindthepo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mindthepop.it"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media@iegexpo.it" TargetMode="External"/><Relationship Id="rId4" Type="http://schemas.openxmlformats.org/officeDocument/2006/relationships/webSettings" Target="webSettings.xml"/><Relationship Id="rId9" Type="http://schemas.openxmlformats.org/officeDocument/2006/relationships/hyperlink" Target="http://www.inoutexpo.it" TargetMode="External"/><Relationship Id="rId14"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906</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3</cp:revision>
  <cp:lastPrinted>2025-04-28T07:29:00Z</cp:lastPrinted>
  <dcterms:created xsi:type="dcterms:W3CDTF">2025-10-06T09:03:00Z</dcterms:created>
  <dcterms:modified xsi:type="dcterms:W3CDTF">2025-10-06T09:19:00Z</dcterms:modified>
</cp:coreProperties>
</file>