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ADD94" w14:textId="7EBD7226" w:rsidR="00D32287" w:rsidRPr="00820928" w:rsidRDefault="00D32287" w:rsidP="00E26884">
      <w:pPr>
        <w:rPr>
          <w:rFonts w:ascii="Calibri" w:hAnsi="Calibri" w:cs="Calibri"/>
          <w:b/>
          <w:bCs/>
          <w:color w:val="EE0000"/>
        </w:rPr>
      </w:pPr>
    </w:p>
    <w:p w14:paraId="1D1BE9D7" w14:textId="747D65B8" w:rsidR="00015F3D" w:rsidRPr="00820928" w:rsidRDefault="00147EA7" w:rsidP="00015F3D">
      <w:pPr>
        <w:jc w:val="center"/>
        <w:rPr>
          <w:rFonts w:ascii="Calibri" w:hAnsi="Calibri" w:cs="Calibri"/>
          <w:i/>
          <w:iCs/>
        </w:rPr>
      </w:pPr>
      <w:r w:rsidRPr="00820928">
        <w:rPr>
          <w:rFonts w:ascii="Calibri" w:hAnsi="Calibri" w:cs="Calibri"/>
          <w:i/>
          <w:iCs/>
        </w:rPr>
        <w:t>Press release</w:t>
      </w:r>
      <w:r w:rsidR="00F25AB9" w:rsidRPr="00820928">
        <w:rPr>
          <w:rFonts w:ascii="Calibri" w:hAnsi="Calibri" w:cs="Calibri"/>
          <w:i/>
          <w:iCs/>
        </w:rPr>
        <w:t xml:space="preserve"> n</w:t>
      </w:r>
      <w:r w:rsidRPr="00820928">
        <w:rPr>
          <w:rFonts w:ascii="Calibri" w:hAnsi="Calibri" w:cs="Calibri"/>
          <w:i/>
          <w:iCs/>
        </w:rPr>
        <w:t>o</w:t>
      </w:r>
      <w:r w:rsidR="00F25AB9" w:rsidRPr="00820928">
        <w:rPr>
          <w:rFonts w:ascii="Calibri" w:hAnsi="Calibri" w:cs="Calibri"/>
          <w:i/>
          <w:iCs/>
        </w:rPr>
        <w:t>. 4</w:t>
      </w:r>
    </w:p>
    <w:p w14:paraId="19F334C1" w14:textId="4E5F561A" w:rsidR="00E41EF0" w:rsidRPr="00820928" w:rsidRDefault="00147EA7" w:rsidP="00F25AB9">
      <w:pPr>
        <w:spacing w:before="100" w:beforeAutospacing="1" w:after="100" w:afterAutospacing="1" w:line="240" w:lineRule="auto"/>
        <w:jc w:val="center"/>
        <w:rPr>
          <w:rFonts w:ascii="Calibri" w:eastAsia="Times New Roman" w:hAnsi="Calibri" w:cs="Calibri"/>
          <w:b/>
          <w:bCs/>
          <w:kern w:val="36"/>
          <w:sz w:val="24"/>
          <w:szCs w:val="24"/>
          <w:lang w:eastAsia="it-IT"/>
          <w14:ligatures w14:val="none"/>
        </w:rPr>
      </w:pPr>
      <w:r w:rsidRPr="00820928">
        <w:rPr>
          <w:rFonts w:ascii="Calibri" w:eastAsia="Times New Roman" w:hAnsi="Calibri" w:cs="Calibri"/>
          <w:b/>
          <w:bCs/>
          <w:kern w:val="36"/>
          <w:sz w:val="24"/>
          <w:szCs w:val="24"/>
          <w:lang w:eastAsia="it-IT"/>
          <w14:ligatures w14:val="none"/>
        </w:rPr>
        <w:t>GROWING TOURISM AND HOTELS AT THE CENTRE: 2025 MARKS A TURNING POINT FOR HOSPITALITY</w:t>
      </w:r>
    </w:p>
    <w:p w14:paraId="4908B3B6" w14:textId="0AEF5096" w:rsidR="00F25AB9" w:rsidRPr="00820928" w:rsidRDefault="00F25AB9" w:rsidP="00F25AB9">
      <w:pPr>
        <w:spacing w:before="100" w:beforeAutospacing="1" w:after="100" w:afterAutospacing="1" w:line="240" w:lineRule="auto"/>
        <w:jc w:val="center"/>
        <w:rPr>
          <w:rFonts w:ascii="Times New Roman" w:eastAsia="Times New Roman" w:hAnsi="Times New Roman" w:cs="Times New Roman"/>
          <w:kern w:val="0"/>
          <w:sz w:val="24"/>
          <w:szCs w:val="24"/>
          <w:lang w:eastAsia="it-IT"/>
          <w14:ligatures w14:val="none"/>
        </w:rPr>
      </w:pPr>
      <w:hyperlink r:id="rId7" w:history="1">
        <w:r w:rsidRPr="00820928">
          <w:rPr>
            <w:rStyle w:val="Collegamentoipertestuale"/>
            <w:rFonts w:ascii="Times New Roman" w:eastAsia="Times New Roman" w:hAnsi="Times New Roman" w:cs="Times New Roman"/>
            <w:kern w:val="0"/>
            <w:sz w:val="24"/>
            <w:szCs w:val="24"/>
            <w:lang w:eastAsia="it-IT"/>
            <w14:ligatures w14:val="none"/>
          </w:rPr>
          <w:t>www.ttgexpo.it</w:t>
        </w:r>
      </w:hyperlink>
      <w:r w:rsidRPr="00820928">
        <w:rPr>
          <w:rFonts w:ascii="Times New Roman" w:eastAsia="Times New Roman" w:hAnsi="Times New Roman" w:cs="Times New Roman"/>
          <w:kern w:val="0"/>
          <w:sz w:val="24"/>
          <w:szCs w:val="24"/>
          <w:lang w:eastAsia="it-IT"/>
          <w14:ligatures w14:val="none"/>
        </w:rPr>
        <w:t xml:space="preserve"> | www.inout.it</w:t>
      </w:r>
    </w:p>
    <w:p w14:paraId="467C5F92" w14:textId="429C48E2" w:rsidR="000D5718" w:rsidRPr="00820928" w:rsidRDefault="00147EA7" w:rsidP="000D5718">
      <w:pPr>
        <w:jc w:val="both"/>
        <w:rPr>
          <w:rFonts w:ascii="Calibri" w:eastAsia="Times New Roman" w:hAnsi="Calibri" w:cs="Calibri"/>
          <w:kern w:val="0"/>
          <w:sz w:val="24"/>
          <w:szCs w:val="24"/>
          <w:lang w:eastAsia="it-IT"/>
          <w14:ligatures w14:val="none"/>
        </w:rPr>
      </w:pPr>
      <w:r w:rsidRPr="00820928">
        <w:rPr>
          <w:rFonts w:ascii="Calibri" w:eastAsia="Times New Roman" w:hAnsi="Calibri" w:cs="Calibri"/>
          <w:kern w:val="0"/>
          <w:sz w:val="24"/>
          <w:szCs w:val="24"/>
          <w:lang w:eastAsia="it-IT"/>
          <w14:ligatures w14:val="none"/>
        </w:rPr>
        <w:t>2025 is shaping up to be one of the most positive years for Italian tourism. According to the annual report by SRM-Intesa Sanpaolo study centre "</w:t>
      </w:r>
      <w:r w:rsidRPr="00820928">
        <w:rPr>
          <w:rFonts w:ascii="Calibri" w:eastAsia="Times New Roman" w:hAnsi="Calibri" w:cs="Calibri"/>
          <w:i/>
          <w:iCs/>
          <w:kern w:val="0"/>
          <w:sz w:val="24"/>
          <w:szCs w:val="24"/>
          <w:lang w:eastAsia="it-IT"/>
          <w14:ligatures w14:val="none"/>
        </w:rPr>
        <w:t>Tourism and Territory - Trends, impacts, and business dynamics</w:t>
      </w:r>
      <w:r w:rsidRPr="00820928">
        <w:rPr>
          <w:rFonts w:ascii="Calibri" w:eastAsia="Times New Roman" w:hAnsi="Calibri" w:cs="Calibri"/>
          <w:kern w:val="0"/>
          <w:sz w:val="24"/>
          <w:szCs w:val="24"/>
          <w:lang w:eastAsia="it-IT"/>
          <w14:ligatures w14:val="none"/>
        </w:rPr>
        <w:t xml:space="preserve">”, tourist numbers could exceed </w:t>
      </w:r>
      <w:r w:rsidRPr="00820928">
        <w:rPr>
          <w:rFonts w:ascii="Calibri" w:eastAsia="Times New Roman" w:hAnsi="Calibri" w:cs="Calibri"/>
          <w:b/>
          <w:bCs/>
          <w:kern w:val="0"/>
          <w:sz w:val="24"/>
          <w:szCs w:val="24"/>
          <w:lang w:eastAsia="it-IT"/>
          <w14:ligatures w14:val="none"/>
        </w:rPr>
        <w:t>481 million</w:t>
      </w:r>
      <w:r w:rsidRPr="00820928">
        <w:rPr>
          <w:rFonts w:ascii="Calibri" w:eastAsia="Times New Roman" w:hAnsi="Calibri" w:cs="Calibri"/>
          <w:kern w:val="0"/>
          <w:sz w:val="24"/>
          <w:szCs w:val="24"/>
          <w:lang w:eastAsia="it-IT"/>
          <w14:ligatures w14:val="none"/>
        </w:rPr>
        <w:t xml:space="preserve">, up </w:t>
      </w:r>
      <w:r w:rsidRPr="00820928">
        <w:rPr>
          <w:rFonts w:ascii="Calibri" w:eastAsia="Times New Roman" w:hAnsi="Calibri" w:cs="Calibri"/>
          <w:b/>
          <w:bCs/>
          <w:kern w:val="0"/>
          <w:sz w:val="24"/>
          <w:szCs w:val="24"/>
          <w:lang w:eastAsia="it-IT"/>
          <w14:ligatures w14:val="none"/>
        </w:rPr>
        <w:t>3.3%</w:t>
      </w:r>
      <w:r w:rsidRPr="00820928">
        <w:rPr>
          <w:rFonts w:ascii="Calibri" w:eastAsia="Times New Roman" w:hAnsi="Calibri" w:cs="Calibri"/>
          <w:kern w:val="0"/>
          <w:sz w:val="24"/>
          <w:szCs w:val="24"/>
          <w:lang w:eastAsia="it-IT"/>
          <w14:ligatures w14:val="none"/>
        </w:rPr>
        <w:t xml:space="preserve"> from 2024. This growth is primarily driven by foreign visitors, who alone could account for over 265 million overnight stays (up 4.3% and 5.1%, respectively).</w:t>
      </w:r>
    </w:p>
    <w:p w14:paraId="2C6B479F" w14:textId="204A1BD0" w:rsidR="000D5718" w:rsidRPr="00820928" w:rsidRDefault="000D5718" w:rsidP="000D5718">
      <w:pPr>
        <w:jc w:val="both"/>
        <w:rPr>
          <w:rFonts w:ascii="Calibri" w:eastAsia="Times New Roman" w:hAnsi="Calibri" w:cs="Calibri"/>
          <w:b/>
          <w:bCs/>
          <w:kern w:val="0"/>
          <w:sz w:val="24"/>
          <w:szCs w:val="24"/>
          <w:lang w:eastAsia="it-IT"/>
          <w14:ligatures w14:val="none"/>
        </w:rPr>
      </w:pPr>
      <w:r w:rsidRPr="00820928">
        <w:rPr>
          <w:rFonts w:ascii="Calibri" w:eastAsia="Times New Roman" w:hAnsi="Calibri" w:cs="Calibri"/>
          <w:b/>
          <w:bCs/>
          <w:kern w:val="0"/>
          <w:sz w:val="24"/>
          <w:szCs w:val="24"/>
          <w:lang w:eastAsia="it-IT"/>
          <w14:ligatures w14:val="none"/>
        </w:rPr>
        <w:t xml:space="preserve">FOCUS </w:t>
      </w:r>
      <w:r w:rsidR="00147EA7" w:rsidRPr="00820928">
        <w:rPr>
          <w:rFonts w:ascii="Calibri" w:eastAsia="Times New Roman" w:hAnsi="Calibri" w:cs="Calibri"/>
          <w:b/>
          <w:bCs/>
          <w:kern w:val="0"/>
          <w:sz w:val="24"/>
          <w:szCs w:val="24"/>
          <w:lang w:eastAsia="it-IT"/>
          <w14:ligatures w14:val="none"/>
        </w:rPr>
        <w:t>ON ITALY</w:t>
      </w:r>
    </w:p>
    <w:p w14:paraId="13E36C26" w14:textId="77777777" w:rsidR="00147EA7" w:rsidRPr="00820928" w:rsidRDefault="00147EA7" w:rsidP="000D5718">
      <w:pPr>
        <w:jc w:val="both"/>
        <w:rPr>
          <w:rFonts w:ascii="Calibri" w:eastAsia="Times New Roman" w:hAnsi="Calibri" w:cs="Calibri"/>
          <w:kern w:val="0"/>
          <w:sz w:val="24"/>
          <w:szCs w:val="24"/>
          <w:lang w:eastAsia="it-IT"/>
          <w14:ligatures w14:val="none"/>
        </w:rPr>
      </w:pPr>
      <w:r w:rsidRPr="00820928">
        <w:rPr>
          <w:rFonts w:ascii="Calibri" w:eastAsia="Times New Roman" w:hAnsi="Calibri" w:cs="Calibri"/>
          <w:kern w:val="0"/>
          <w:sz w:val="24"/>
          <w:szCs w:val="24"/>
          <w:lang w:eastAsia="it-IT"/>
          <w14:ligatures w14:val="none"/>
        </w:rPr>
        <w:t xml:space="preserve">The provisional ISTAT data for the second quarter of 2025 confirm the positive trend: </w:t>
      </w:r>
      <w:r w:rsidRPr="00820928">
        <w:rPr>
          <w:rFonts w:ascii="Calibri" w:eastAsia="Times New Roman" w:hAnsi="Calibri" w:cs="Calibri"/>
          <w:b/>
          <w:bCs/>
          <w:kern w:val="0"/>
          <w:sz w:val="24"/>
          <w:szCs w:val="24"/>
          <w:lang w:eastAsia="it-IT"/>
          <w14:ligatures w14:val="none"/>
        </w:rPr>
        <w:t>overnight stays</w:t>
      </w:r>
      <w:r w:rsidRPr="00820928">
        <w:rPr>
          <w:rFonts w:ascii="Calibri" w:eastAsia="Times New Roman" w:hAnsi="Calibri" w:cs="Calibri"/>
          <w:kern w:val="0"/>
          <w:sz w:val="24"/>
          <w:szCs w:val="24"/>
          <w:lang w:eastAsia="it-IT"/>
          <w14:ligatures w14:val="none"/>
        </w:rPr>
        <w:t xml:space="preserve"> in accommodation facilities increased by </w:t>
      </w:r>
      <w:r w:rsidRPr="00820928">
        <w:rPr>
          <w:rFonts w:ascii="Calibri" w:eastAsia="Times New Roman" w:hAnsi="Calibri" w:cs="Calibri"/>
          <w:b/>
          <w:bCs/>
          <w:kern w:val="0"/>
          <w:sz w:val="24"/>
          <w:szCs w:val="24"/>
          <w:lang w:eastAsia="it-IT"/>
          <w14:ligatures w14:val="none"/>
        </w:rPr>
        <w:t>4.7%,</w:t>
      </w:r>
      <w:r w:rsidRPr="00820928">
        <w:rPr>
          <w:rFonts w:ascii="Calibri" w:eastAsia="Times New Roman" w:hAnsi="Calibri" w:cs="Calibri"/>
          <w:kern w:val="0"/>
          <w:sz w:val="24"/>
          <w:szCs w:val="24"/>
          <w:lang w:eastAsia="it-IT"/>
          <w14:ligatures w14:val="none"/>
        </w:rPr>
        <w:t xml:space="preserve"> while </w:t>
      </w:r>
      <w:r w:rsidRPr="00820928">
        <w:rPr>
          <w:rFonts w:ascii="Calibri" w:eastAsia="Times New Roman" w:hAnsi="Calibri" w:cs="Calibri"/>
          <w:b/>
          <w:bCs/>
          <w:kern w:val="0"/>
          <w:sz w:val="24"/>
          <w:szCs w:val="24"/>
          <w:lang w:eastAsia="it-IT"/>
          <w14:ligatures w14:val="none"/>
        </w:rPr>
        <w:t>arrivals</w:t>
      </w:r>
      <w:r w:rsidRPr="00820928">
        <w:rPr>
          <w:rFonts w:ascii="Calibri" w:eastAsia="Times New Roman" w:hAnsi="Calibri" w:cs="Calibri"/>
          <w:kern w:val="0"/>
          <w:sz w:val="24"/>
          <w:szCs w:val="24"/>
          <w:lang w:eastAsia="it-IT"/>
          <w14:ligatures w14:val="none"/>
        </w:rPr>
        <w:t xml:space="preserve"> rose by 1.1% compared to the same period in 2024. Both Italian tourists (+3.0%) and, more significantly, foreign tourists (+5.9%), who account for over 60% of the total visitors, are performing well.</w:t>
      </w:r>
    </w:p>
    <w:p w14:paraId="609930B7" w14:textId="77777777" w:rsidR="00147EA7" w:rsidRPr="00820928" w:rsidRDefault="00147EA7" w:rsidP="000D5718">
      <w:pPr>
        <w:jc w:val="both"/>
        <w:rPr>
          <w:rFonts w:ascii="Calibri" w:eastAsia="Times New Roman" w:hAnsi="Calibri" w:cs="Calibri"/>
          <w:kern w:val="0"/>
          <w:sz w:val="24"/>
          <w:szCs w:val="24"/>
          <w:lang w:eastAsia="it-IT"/>
          <w14:ligatures w14:val="none"/>
        </w:rPr>
      </w:pPr>
      <w:r w:rsidRPr="00820928">
        <w:rPr>
          <w:rFonts w:ascii="Calibri" w:eastAsia="Times New Roman" w:hAnsi="Calibri" w:cs="Calibri"/>
          <w:kern w:val="0"/>
          <w:sz w:val="24"/>
          <w:szCs w:val="24"/>
          <w:lang w:eastAsia="it-IT"/>
          <w14:ligatures w14:val="none"/>
        </w:rPr>
        <w:br/>
        <w:t xml:space="preserve">The analysis by destination type shows particularly strong performance for </w:t>
      </w:r>
      <w:r w:rsidRPr="00820928">
        <w:rPr>
          <w:rFonts w:ascii="Calibri" w:eastAsia="Times New Roman" w:hAnsi="Calibri" w:cs="Calibri"/>
          <w:b/>
          <w:bCs/>
          <w:kern w:val="0"/>
          <w:sz w:val="24"/>
          <w:szCs w:val="24"/>
          <w:lang w:eastAsia="it-IT"/>
          <w14:ligatures w14:val="none"/>
        </w:rPr>
        <w:t>mountain towns</w:t>
      </w:r>
      <w:r w:rsidRPr="00820928">
        <w:rPr>
          <w:rFonts w:ascii="Calibri" w:eastAsia="Times New Roman" w:hAnsi="Calibri" w:cs="Calibri"/>
          <w:kern w:val="0"/>
          <w:sz w:val="24"/>
          <w:szCs w:val="24"/>
          <w:lang w:eastAsia="it-IT"/>
          <w14:ligatures w14:val="none"/>
        </w:rPr>
        <w:t xml:space="preserve"> (+12%), stable results for seaside locations (+0.7%), with excellent results in the Romagna Riviera, Veneto, and Friuli-Venezia Giulia. Art cities are also growing, with </w:t>
      </w:r>
      <w:r w:rsidRPr="00820928">
        <w:rPr>
          <w:rFonts w:ascii="Calibri" w:eastAsia="Times New Roman" w:hAnsi="Calibri" w:cs="Calibri"/>
          <w:b/>
          <w:bCs/>
          <w:kern w:val="0"/>
          <w:sz w:val="24"/>
          <w:szCs w:val="24"/>
          <w:lang w:eastAsia="it-IT"/>
          <w14:ligatures w14:val="none"/>
        </w:rPr>
        <w:t xml:space="preserve">Milan, Florence, </w:t>
      </w:r>
      <w:r w:rsidRPr="00820928">
        <w:rPr>
          <w:rFonts w:ascii="Calibri" w:eastAsia="Times New Roman" w:hAnsi="Calibri" w:cs="Calibri"/>
          <w:kern w:val="0"/>
          <w:sz w:val="24"/>
          <w:szCs w:val="24"/>
          <w:lang w:eastAsia="it-IT"/>
          <w14:ligatures w14:val="none"/>
        </w:rPr>
        <w:t>and</w:t>
      </w:r>
      <w:r w:rsidRPr="00820928">
        <w:rPr>
          <w:rFonts w:ascii="Calibri" w:eastAsia="Times New Roman" w:hAnsi="Calibri" w:cs="Calibri"/>
          <w:b/>
          <w:bCs/>
          <w:kern w:val="0"/>
          <w:sz w:val="24"/>
          <w:szCs w:val="24"/>
          <w:lang w:eastAsia="it-IT"/>
          <w14:ligatures w14:val="none"/>
        </w:rPr>
        <w:t xml:space="preserve"> Bologna</w:t>
      </w:r>
      <w:r w:rsidRPr="00820928">
        <w:rPr>
          <w:rFonts w:ascii="Calibri" w:eastAsia="Times New Roman" w:hAnsi="Calibri" w:cs="Calibri"/>
          <w:kern w:val="0"/>
          <w:sz w:val="24"/>
          <w:szCs w:val="24"/>
          <w:lang w:eastAsia="it-IT"/>
          <w14:ligatures w14:val="none"/>
        </w:rPr>
        <w:t xml:space="preserve"> all exceeding +8%. In contrast, Venice experienced a 6.1% decline.</w:t>
      </w:r>
    </w:p>
    <w:p w14:paraId="2AA76199" w14:textId="6FEEBC03" w:rsidR="000D5718" w:rsidRPr="00820928" w:rsidRDefault="00147EA7" w:rsidP="000D5718">
      <w:pPr>
        <w:jc w:val="both"/>
        <w:rPr>
          <w:rFonts w:ascii="Calibri" w:eastAsia="Times New Roman" w:hAnsi="Calibri" w:cs="Calibri"/>
          <w:kern w:val="0"/>
          <w:sz w:val="24"/>
          <w:szCs w:val="24"/>
          <w:lang w:eastAsia="it-IT"/>
          <w14:ligatures w14:val="none"/>
        </w:rPr>
      </w:pPr>
      <w:r w:rsidRPr="00820928">
        <w:rPr>
          <w:rFonts w:ascii="Calibri" w:eastAsia="Times New Roman" w:hAnsi="Calibri" w:cs="Calibri"/>
          <w:kern w:val="0"/>
          <w:sz w:val="24"/>
          <w:szCs w:val="24"/>
          <w:lang w:eastAsia="it-IT"/>
          <w14:ligatures w14:val="none"/>
        </w:rPr>
        <w:t xml:space="preserve">According to </w:t>
      </w:r>
      <w:proofErr w:type="spellStart"/>
      <w:r w:rsidRPr="00820928">
        <w:rPr>
          <w:rFonts w:ascii="Calibri" w:eastAsia="Times New Roman" w:hAnsi="Calibri" w:cs="Calibri"/>
          <w:kern w:val="0"/>
          <w:sz w:val="24"/>
          <w:szCs w:val="24"/>
          <w:lang w:eastAsia="it-IT"/>
          <w14:ligatures w14:val="none"/>
        </w:rPr>
        <w:t>Assoturismo</w:t>
      </w:r>
      <w:proofErr w:type="spellEnd"/>
      <w:r w:rsidRPr="00820928">
        <w:rPr>
          <w:rFonts w:ascii="Calibri" w:eastAsia="Times New Roman" w:hAnsi="Calibri" w:cs="Calibri"/>
          <w:kern w:val="0"/>
          <w:sz w:val="24"/>
          <w:szCs w:val="24"/>
          <w:lang w:eastAsia="it-IT"/>
          <w14:ligatures w14:val="none"/>
        </w:rPr>
        <w:t xml:space="preserve">-CST, the summer season concluded with </w:t>
      </w:r>
      <w:r w:rsidRPr="00820928">
        <w:rPr>
          <w:rFonts w:ascii="Calibri" w:eastAsia="Times New Roman" w:hAnsi="Calibri" w:cs="Calibri"/>
          <w:b/>
          <w:bCs/>
          <w:kern w:val="0"/>
          <w:sz w:val="24"/>
          <w:szCs w:val="24"/>
          <w:lang w:eastAsia="it-IT"/>
          <w14:ligatures w14:val="none"/>
        </w:rPr>
        <w:t>over 215 million overnight stays</w:t>
      </w:r>
      <w:r w:rsidRPr="00820928">
        <w:rPr>
          <w:rFonts w:ascii="Calibri" w:eastAsia="Times New Roman" w:hAnsi="Calibri" w:cs="Calibri"/>
          <w:kern w:val="0"/>
          <w:sz w:val="24"/>
          <w:szCs w:val="24"/>
          <w:lang w:eastAsia="it-IT"/>
          <w14:ligatures w14:val="none"/>
        </w:rPr>
        <w:t>, marking a slight increase (+0.2%) from 2024. This growth was primarily driven by international visitors (+2.8%), who offset the decline in Italian visitors (-2.5%). Countryside/hill destinations (+5.5%), mountain destinations (+5.2%), and lake destinations (+3.6%) are on the rise, while seaside destinations have seen a decline of -1.2%.</w:t>
      </w:r>
    </w:p>
    <w:p w14:paraId="4E202241" w14:textId="77777777" w:rsidR="00147EA7" w:rsidRPr="00820928" w:rsidRDefault="00147EA7" w:rsidP="000D5718">
      <w:pPr>
        <w:jc w:val="both"/>
        <w:rPr>
          <w:rFonts w:ascii="Calibri" w:eastAsia="Times New Roman" w:hAnsi="Calibri" w:cs="Calibri"/>
          <w:b/>
          <w:bCs/>
          <w:kern w:val="0"/>
          <w:sz w:val="24"/>
          <w:szCs w:val="24"/>
          <w:lang w:eastAsia="it-IT"/>
          <w14:ligatures w14:val="none"/>
        </w:rPr>
      </w:pPr>
      <w:r w:rsidRPr="00820928">
        <w:rPr>
          <w:rFonts w:ascii="Calibri" w:eastAsia="Times New Roman" w:hAnsi="Calibri" w:cs="Calibri"/>
          <w:b/>
          <w:bCs/>
          <w:kern w:val="0"/>
          <w:sz w:val="24"/>
          <w:szCs w:val="24"/>
          <w:lang w:eastAsia="it-IT"/>
          <w14:ligatures w14:val="none"/>
        </w:rPr>
        <w:t>HOTELS, RESTAURANTS, AND ECONOMIC IMPACT</w:t>
      </w:r>
    </w:p>
    <w:p w14:paraId="738E4B13" w14:textId="500A3B29" w:rsidR="000D5718" w:rsidRPr="00820928" w:rsidRDefault="005957F0" w:rsidP="000D5718">
      <w:pPr>
        <w:jc w:val="both"/>
        <w:rPr>
          <w:rFonts w:ascii="Calibri" w:eastAsia="Times New Roman" w:hAnsi="Calibri" w:cs="Calibri"/>
          <w:kern w:val="0"/>
          <w:sz w:val="24"/>
          <w:szCs w:val="24"/>
          <w:lang w:eastAsia="it-IT"/>
          <w14:ligatures w14:val="none"/>
        </w:rPr>
      </w:pPr>
      <w:r w:rsidRPr="00820928">
        <w:rPr>
          <w:rFonts w:ascii="Calibri" w:eastAsia="Times New Roman" w:hAnsi="Calibri" w:cs="Calibri"/>
          <w:kern w:val="0"/>
          <w:sz w:val="24"/>
          <w:szCs w:val="24"/>
          <w:lang w:eastAsia="it-IT"/>
          <w14:ligatures w14:val="none"/>
        </w:rPr>
        <w:t xml:space="preserve">2025 is set to be a year of momentum for the entire tourism industry, with </w:t>
      </w:r>
      <w:r w:rsidRPr="00820928">
        <w:rPr>
          <w:rFonts w:ascii="Calibri" w:eastAsia="Times New Roman" w:hAnsi="Calibri" w:cs="Calibri"/>
          <w:b/>
          <w:bCs/>
          <w:kern w:val="0"/>
          <w:sz w:val="24"/>
          <w:szCs w:val="24"/>
          <w:lang w:eastAsia="it-IT"/>
          <w14:ligatures w14:val="none"/>
        </w:rPr>
        <w:t>nearly 477 million visitors expected</w:t>
      </w:r>
      <w:r w:rsidRPr="00820928">
        <w:rPr>
          <w:rFonts w:ascii="Calibri" w:eastAsia="Times New Roman" w:hAnsi="Calibri" w:cs="Calibri"/>
          <w:kern w:val="0"/>
          <w:sz w:val="24"/>
          <w:szCs w:val="24"/>
          <w:lang w:eastAsia="it-IT"/>
          <w14:ligatures w14:val="none"/>
        </w:rPr>
        <w:t xml:space="preserve"> (+2.3% compared to 2024), over 106 billion euros in added value, and a Hotels and Restaurants industry that is growing by 1.6% compared to last year and 25.6% compared to 2019 (</w:t>
      </w:r>
      <w:r w:rsidRPr="00820928">
        <w:rPr>
          <w:rFonts w:ascii="Calibri" w:eastAsia="Times New Roman" w:hAnsi="Calibri" w:cs="Calibri"/>
          <w:i/>
          <w:iCs/>
          <w:kern w:val="0"/>
          <w:sz w:val="24"/>
          <w:szCs w:val="24"/>
          <w:lang w:eastAsia="it-IT"/>
          <w14:ligatures w14:val="none"/>
        </w:rPr>
        <w:t>SRM – Intesa Sanpaolo, "Tourism &amp; Territory" Report 2025</w:t>
      </w:r>
      <w:r w:rsidRPr="00820928">
        <w:rPr>
          <w:rFonts w:ascii="Calibri" w:eastAsia="Times New Roman" w:hAnsi="Calibri" w:cs="Calibri"/>
          <w:kern w:val="0"/>
          <w:sz w:val="24"/>
          <w:szCs w:val="24"/>
          <w:lang w:eastAsia="it-IT"/>
          <w14:ligatures w14:val="none"/>
        </w:rPr>
        <w:t>).</w:t>
      </w:r>
    </w:p>
    <w:p w14:paraId="34E32046" w14:textId="50B81A3B" w:rsidR="000D5718" w:rsidRPr="00820928" w:rsidRDefault="005957F0" w:rsidP="000D5718">
      <w:pPr>
        <w:jc w:val="both"/>
        <w:rPr>
          <w:rFonts w:ascii="Calibri" w:eastAsia="Times New Roman" w:hAnsi="Calibri" w:cs="Calibri"/>
          <w:kern w:val="0"/>
          <w:sz w:val="24"/>
          <w:szCs w:val="24"/>
          <w:lang w:eastAsia="it-IT"/>
          <w14:ligatures w14:val="none"/>
        </w:rPr>
      </w:pPr>
      <w:r w:rsidRPr="00820928">
        <w:rPr>
          <w:rFonts w:ascii="Calibri" w:eastAsia="Times New Roman" w:hAnsi="Calibri" w:cs="Calibri"/>
          <w:kern w:val="0"/>
          <w:sz w:val="24"/>
          <w:szCs w:val="24"/>
          <w:lang w:eastAsia="it-IT"/>
          <w14:ligatures w14:val="none"/>
        </w:rPr>
        <w:t xml:space="preserve">The real driver of this expansion is the hotel industry, which is undergoing a transformation: </w:t>
      </w:r>
      <w:r w:rsidRPr="00820928">
        <w:rPr>
          <w:rFonts w:ascii="Calibri" w:eastAsia="Times New Roman" w:hAnsi="Calibri" w:cs="Calibri"/>
          <w:b/>
          <w:bCs/>
          <w:kern w:val="0"/>
          <w:sz w:val="24"/>
          <w:szCs w:val="24"/>
          <w:lang w:eastAsia="it-IT"/>
          <w14:ligatures w14:val="none"/>
        </w:rPr>
        <w:t>64% of hotel companies have invested more than 15% of their turnover in the last three years</w:t>
      </w:r>
      <w:r w:rsidRPr="00820928">
        <w:rPr>
          <w:rFonts w:ascii="Calibri" w:eastAsia="Times New Roman" w:hAnsi="Calibri" w:cs="Calibri"/>
          <w:kern w:val="0"/>
          <w:sz w:val="24"/>
          <w:szCs w:val="24"/>
          <w:lang w:eastAsia="it-IT"/>
          <w14:ligatures w14:val="none"/>
        </w:rPr>
        <w:t>, and nearly one in two plans new investments in the 2025-2027 period, focusing on sustainability, energy efficiency, digitalisation, and service quality.</w:t>
      </w:r>
    </w:p>
    <w:p w14:paraId="5330F23A" w14:textId="6307CB38" w:rsidR="000D5718" w:rsidRPr="00820928" w:rsidRDefault="005957F0" w:rsidP="000D5718">
      <w:pPr>
        <w:jc w:val="both"/>
        <w:rPr>
          <w:rFonts w:ascii="Calibri" w:eastAsia="Times New Roman" w:hAnsi="Calibri" w:cs="Calibri"/>
          <w:kern w:val="0"/>
          <w:sz w:val="24"/>
          <w:szCs w:val="24"/>
          <w:lang w:eastAsia="it-IT"/>
          <w14:ligatures w14:val="none"/>
        </w:rPr>
      </w:pPr>
      <w:r w:rsidRPr="00820928">
        <w:rPr>
          <w:rFonts w:ascii="Calibri" w:eastAsia="Times New Roman" w:hAnsi="Calibri" w:cs="Calibri"/>
          <w:kern w:val="0"/>
          <w:sz w:val="24"/>
          <w:szCs w:val="24"/>
          <w:lang w:eastAsia="it-IT"/>
          <w14:ligatures w14:val="none"/>
        </w:rPr>
        <w:t xml:space="preserve">This evolution is the main theme at </w:t>
      </w:r>
      <w:r w:rsidRPr="00820928">
        <w:rPr>
          <w:rFonts w:ascii="Calibri" w:eastAsia="Times New Roman" w:hAnsi="Calibri" w:cs="Calibri"/>
          <w:b/>
          <w:bCs/>
          <w:kern w:val="0"/>
          <w:sz w:val="24"/>
          <w:szCs w:val="24"/>
          <w:lang w:eastAsia="it-IT"/>
          <w14:ligatures w14:val="none"/>
        </w:rPr>
        <w:t>TTG Travel Experience 2025</w:t>
      </w:r>
      <w:r w:rsidRPr="00820928">
        <w:rPr>
          <w:rFonts w:ascii="Calibri" w:eastAsia="Times New Roman" w:hAnsi="Calibri" w:cs="Calibri"/>
          <w:kern w:val="0"/>
          <w:sz w:val="24"/>
          <w:szCs w:val="24"/>
          <w:lang w:eastAsia="it-IT"/>
          <w14:ligatures w14:val="none"/>
        </w:rPr>
        <w:t xml:space="preserve">, which places a special focus on the new era of hospitality. A </w:t>
      </w:r>
      <w:r w:rsidRPr="00820928">
        <w:rPr>
          <w:rFonts w:ascii="Calibri" w:eastAsia="Times New Roman" w:hAnsi="Calibri" w:cs="Calibri"/>
          <w:b/>
          <w:bCs/>
          <w:kern w:val="0"/>
          <w:sz w:val="24"/>
          <w:szCs w:val="24"/>
          <w:lang w:eastAsia="it-IT"/>
          <w14:ligatures w14:val="none"/>
        </w:rPr>
        <w:t>conference with young hoteliers</w:t>
      </w:r>
      <w:r w:rsidRPr="00820928">
        <w:rPr>
          <w:rFonts w:ascii="Calibri" w:eastAsia="Times New Roman" w:hAnsi="Calibri" w:cs="Calibri"/>
          <w:kern w:val="0"/>
          <w:sz w:val="24"/>
          <w:szCs w:val="24"/>
          <w:lang w:eastAsia="it-IT"/>
          <w14:ligatures w14:val="none"/>
        </w:rPr>
        <w:t xml:space="preserve">, organised in collaboration with </w:t>
      </w:r>
      <w:proofErr w:type="spellStart"/>
      <w:r w:rsidRPr="00820928">
        <w:rPr>
          <w:rFonts w:ascii="Calibri" w:eastAsia="Times New Roman" w:hAnsi="Calibri" w:cs="Calibri"/>
          <w:kern w:val="0"/>
          <w:sz w:val="24"/>
          <w:szCs w:val="24"/>
          <w:lang w:eastAsia="it-IT"/>
          <w14:ligatures w14:val="none"/>
        </w:rPr>
        <w:t>Federalberghi</w:t>
      </w:r>
      <w:proofErr w:type="spellEnd"/>
      <w:r w:rsidRPr="00820928">
        <w:rPr>
          <w:rFonts w:ascii="Calibri" w:eastAsia="Times New Roman" w:hAnsi="Calibri" w:cs="Calibri"/>
          <w:kern w:val="0"/>
          <w:sz w:val="24"/>
          <w:szCs w:val="24"/>
          <w:lang w:eastAsia="it-IT"/>
          <w14:ligatures w14:val="none"/>
        </w:rPr>
        <w:t xml:space="preserve">, is planned, along with a round table discussion on the hotel industry to explore its </w:t>
      </w:r>
      <w:r w:rsidRPr="00820928">
        <w:rPr>
          <w:rFonts w:ascii="Calibri" w:eastAsia="Times New Roman" w:hAnsi="Calibri" w:cs="Calibri"/>
          <w:kern w:val="0"/>
          <w:sz w:val="24"/>
          <w:szCs w:val="24"/>
          <w:lang w:eastAsia="it-IT"/>
          <w14:ligatures w14:val="none"/>
        </w:rPr>
        <w:lastRenderedPageBreak/>
        <w:t xml:space="preserve">challenges and opportunities. There will be </w:t>
      </w:r>
      <w:r w:rsidRPr="00820928">
        <w:rPr>
          <w:rFonts w:ascii="Calibri" w:eastAsia="Times New Roman" w:hAnsi="Calibri" w:cs="Calibri"/>
          <w:b/>
          <w:bCs/>
          <w:kern w:val="0"/>
          <w:sz w:val="24"/>
          <w:szCs w:val="24"/>
          <w:lang w:eastAsia="it-IT"/>
          <w14:ligatures w14:val="none"/>
        </w:rPr>
        <w:t>Hotel Talks</w:t>
      </w:r>
      <w:r w:rsidRPr="00820928">
        <w:rPr>
          <w:rFonts w:ascii="Calibri" w:eastAsia="Times New Roman" w:hAnsi="Calibri" w:cs="Calibri"/>
          <w:kern w:val="0"/>
          <w:sz w:val="24"/>
          <w:szCs w:val="24"/>
          <w:lang w:eastAsia="it-IT"/>
          <w14:ligatures w14:val="none"/>
        </w:rPr>
        <w:t xml:space="preserve"> with key players and a contest for industry startups, culminating in a final award ceremony. The </w:t>
      </w:r>
      <w:r w:rsidRPr="00820928">
        <w:rPr>
          <w:rFonts w:ascii="Calibri" w:eastAsia="Times New Roman" w:hAnsi="Calibri" w:cs="Calibri"/>
          <w:b/>
          <w:bCs/>
          <w:kern w:val="0"/>
          <w:sz w:val="24"/>
          <w:szCs w:val="24"/>
          <w:lang w:eastAsia="it-IT"/>
          <w14:ligatures w14:val="none"/>
        </w:rPr>
        <w:t>Main Arena</w:t>
      </w:r>
      <w:r w:rsidRPr="00820928">
        <w:rPr>
          <w:rFonts w:ascii="Calibri" w:eastAsia="Times New Roman" w:hAnsi="Calibri" w:cs="Calibri"/>
          <w:kern w:val="0"/>
          <w:sz w:val="24"/>
          <w:szCs w:val="24"/>
          <w:lang w:eastAsia="it-IT"/>
          <w14:ligatures w14:val="none"/>
        </w:rPr>
        <w:t xml:space="preserve"> will also feature gastronomy, with a preview of the </w:t>
      </w:r>
      <w:proofErr w:type="spellStart"/>
      <w:r w:rsidRPr="00820928">
        <w:rPr>
          <w:rFonts w:ascii="Calibri" w:eastAsia="Times New Roman" w:hAnsi="Calibri" w:cs="Calibri"/>
          <w:kern w:val="0"/>
          <w:sz w:val="24"/>
          <w:szCs w:val="24"/>
          <w:lang w:eastAsia="it-IT"/>
          <w14:ligatures w14:val="none"/>
        </w:rPr>
        <w:t>Fipe</w:t>
      </w:r>
      <w:proofErr w:type="spellEnd"/>
      <w:r w:rsidRPr="00820928">
        <w:rPr>
          <w:rFonts w:ascii="Calibri" w:eastAsia="Times New Roman" w:hAnsi="Calibri" w:cs="Calibri"/>
          <w:kern w:val="0"/>
          <w:sz w:val="24"/>
          <w:szCs w:val="24"/>
          <w:lang w:eastAsia="it-IT"/>
          <w14:ligatures w14:val="none"/>
        </w:rPr>
        <w:t xml:space="preserve"> Report and a discussion on new business opportunities for tourist destinations.</w:t>
      </w:r>
    </w:p>
    <w:p w14:paraId="02E4B2E5" w14:textId="121438B0" w:rsidR="00B618F4" w:rsidRPr="00820928" w:rsidRDefault="005957F0" w:rsidP="00B618F4">
      <w:pPr>
        <w:jc w:val="both"/>
        <w:rPr>
          <w:rFonts w:ascii="Calibri" w:eastAsia="Times New Roman" w:hAnsi="Calibri" w:cs="Calibri"/>
          <w:b/>
          <w:bCs/>
          <w:kern w:val="0"/>
          <w:sz w:val="24"/>
          <w:szCs w:val="24"/>
          <w:lang w:eastAsia="it-IT"/>
          <w14:ligatures w14:val="none"/>
        </w:rPr>
      </w:pPr>
      <w:r w:rsidRPr="00820928">
        <w:rPr>
          <w:rFonts w:ascii="Calibri" w:eastAsia="Times New Roman" w:hAnsi="Calibri" w:cs="Calibri"/>
          <w:b/>
          <w:bCs/>
          <w:kern w:val="0"/>
          <w:sz w:val="24"/>
          <w:szCs w:val="24"/>
          <w:lang w:eastAsia="it-IT"/>
          <w14:ligatures w14:val="none"/>
        </w:rPr>
        <w:t>SHORT-TERM AND NON-HOTEL RENTALS</w:t>
      </w:r>
    </w:p>
    <w:p w14:paraId="1AAFA8FA" w14:textId="1ED4DDBF" w:rsidR="00B618F4" w:rsidRPr="00820928" w:rsidRDefault="005957F0" w:rsidP="00B618F4">
      <w:pPr>
        <w:jc w:val="both"/>
        <w:rPr>
          <w:rFonts w:ascii="Calibri" w:eastAsia="Times New Roman" w:hAnsi="Calibri" w:cs="Calibri"/>
          <w:kern w:val="0"/>
          <w:sz w:val="24"/>
          <w:szCs w:val="24"/>
          <w:lang w:eastAsia="it-IT"/>
          <w14:ligatures w14:val="none"/>
        </w:rPr>
      </w:pPr>
      <w:r w:rsidRPr="00820928">
        <w:rPr>
          <w:rFonts w:ascii="Calibri" w:eastAsia="Times New Roman" w:hAnsi="Calibri" w:cs="Calibri"/>
          <w:kern w:val="0"/>
          <w:sz w:val="24"/>
          <w:szCs w:val="24"/>
          <w:lang w:eastAsia="it-IT"/>
          <w14:ligatures w14:val="none"/>
        </w:rPr>
        <w:t xml:space="preserve">After years of steady growth, the summer of 2025 marks a slowdown in short-term rentals. The </w:t>
      </w:r>
      <w:r w:rsidRPr="00820928">
        <w:rPr>
          <w:rFonts w:ascii="Calibri" w:eastAsia="Times New Roman" w:hAnsi="Calibri" w:cs="Calibri"/>
          <w:b/>
          <w:bCs/>
          <w:kern w:val="0"/>
          <w:sz w:val="24"/>
          <w:szCs w:val="24"/>
          <w:lang w:eastAsia="it-IT"/>
          <w14:ligatures w14:val="none"/>
        </w:rPr>
        <w:t>average occupancy</w:t>
      </w:r>
      <w:r w:rsidRPr="00820928">
        <w:rPr>
          <w:rFonts w:ascii="Calibri" w:eastAsia="Times New Roman" w:hAnsi="Calibri" w:cs="Calibri"/>
          <w:kern w:val="0"/>
          <w:sz w:val="24"/>
          <w:szCs w:val="24"/>
          <w:lang w:eastAsia="it-IT"/>
          <w14:ligatures w14:val="none"/>
        </w:rPr>
        <w:t xml:space="preserve"> rate of tourist rentals has dropped to 64%, compared to 65% in the previous two seasons and 66.3% in 2022 (</w:t>
      </w:r>
      <w:proofErr w:type="spellStart"/>
      <w:r w:rsidRPr="00820928">
        <w:rPr>
          <w:rFonts w:ascii="Calibri" w:eastAsia="Times New Roman" w:hAnsi="Calibri" w:cs="Calibri"/>
          <w:i/>
          <w:iCs/>
          <w:kern w:val="0"/>
          <w:sz w:val="24"/>
          <w:szCs w:val="24"/>
          <w:lang w:eastAsia="it-IT"/>
          <w14:ligatures w14:val="none"/>
        </w:rPr>
        <w:t>Aigab</w:t>
      </w:r>
      <w:proofErr w:type="spellEnd"/>
      <w:r w:rsidRPr="00820928">
        <w:rPr>
          <w:rFonts w:ascii="Calibri" w:eastAsia="Times New Roman" w:hAnsi="Calibri" w:cs="Calibri"/>
          <w:i/>
          <w:iCs/>
          <w:kern w:val="0"/>
          <w:sz w:val="24"/>
          <w:szCs w:val="24"/>
          <w:lang w:eastAsia="it-IT"/>
          <w14:ligatures w14:val="none"/>
        </w:rPr>
        <w:t>, summer 2025</w:t>
      </w:r>
      <w:r w:rsidRPr="00820928">
        <w:rPr>
          <w:rFonts w:ascii="Calibri" w:eastAsia="Times New Roman" w:hAnsi="Calibri" w:cs="Calibri"/>
          <w:kern w:val="0"/>
          <w:sz w:val="24"/>
          <w:szCs w:val="24"/>
          <w:lang w:eastAsia="it-IT"/>
          <w14:ligatures w14:val="none"/>
        </w:rPr>
        <w:t>).</w:t>
      </w:r>
    </w:p>
    <w:p w14:paraId="5FF2319F" w14:textId="06C12178" w:rsidR="00B618F4" w:rsidRPr="00820928" w:rsidRDefault="005957F0" w:rsidP="00B618F4">
      <w:pPr>
        <w:jc w:val="both"/>
        <w:rPr>
          <w:rFonts w:ascii="Calibri" w:eastAsia="Times New Roman" w:hAnsi="Calibri" w:cs="Calibri"/>
          <w:kern w:val="0"/>
          <w:sz w:val="24"/>
          <w:szCs w:val="24"/>
          <w:lang w:eastAsia="it-IT"/>
          <w14:ligatures w14:val="none"/>
        </w:rPr>
      </w:pPr>
      <w:r w:rsidRPr="00820928">
        <w:rPr>
          <w:rFonts w:ascii="Calibri" w:eastAsia="Times New Roman" w:hAnsi="Calibri" w:cs="Calibri"/>
          <w:kern w:val="0"/>
          <w:sz w:val="24"/>
          <w:szCs w:val="24"/>
          <w:lang w:eastAsia="it-IT"/>
          <w14:ligatures w14:val="none"/>
        </w:rPr>
        <w:t xml:space="preserve">According to </w:t>
      </w:r>
      <w:proofErr w:type="spellStart"/>
      <w:r w:rsidRPr="00820928">
        <w:rPr>
          <w:rFonts w:ascii="Calibri" w:eastAsia="Times New Roman" w:hAnsi="Calibri" w:cs="Calibri"/>
          <w:kern w:val="0"/>
          <w:sz w:val="24"/>
          <w:szCs w:val="24"/>
          <w:lang w:eastAsia="it-IT"/>
          <w14:ligatures w14:val="none"/>
        </w:rPr>
        <w:t>Aigab</w:t>
      </w:r>
      <w:proofErr w:type="spellEnd"/>
      <w:r w:rsidRPr="00820928">
        <w:rPr>
          <w:rFonts w:ascii="Calibri" w:eastAsia="Times New Roman" w:hAnsi="Calibri" w:cs="Calibri"/>
          <w:kern w:val="0"/>
          <w:sz w:val="24"/>
          <w:szCs w:val="24"/>
          <w:lang w:eastAsia="it-IT"/>
          <w14:ligatures w14:val="none"/>
        </w:rPr>
        <w:t>, the issue is not just a weaker demand but also a reduced supply: many owners prefer to use their second homes for themselves, especially on weekends, keeping their listings online but reducing actual availability. Active listings have decreased from over 520,000 to around 508,000, marking a 2.3% decline. Puglia is growing but with lower prices, Sardinia remains stable, while declines have been recorded in Liguria and Campania. Travelers are shortening their stays, opting for the low season, or focusing on foreign destinations like Greece and Spain.</w:t>
      </w:r>
    </w:p>
    <w:p w14:paraId="17C98D0A" w14:textId="029B8C65" w:rsidR="000D5718" w:rsidRPr="00820928" w:rsidRDefault="005957F0" w:rsidP="000D5718">
      <w:pPr>
        <w:jc w:val="both"/>
        <w:rPr>
          <w:rFonts w:ascii="Calibri" w:eastAsia="Times New Roman" w:hAnsi="Calibri" w:cs="Calibri"/>
          <w:b/>
          <w:bCs/>
          <w:kern w:val="0"/>
          <w:sz w:val="24"/>
          <w:szCs w:val="24"/>
          <w:lang w:eastAsia="it-IT"/>
          <w14:ligatures w14:val="none"/>
        </w:rPr>
      </w:pPr>
      <w:r w:rsidRPr="00820928">
        <w:rPr>
          <w:rFonts w:ascii="Calibri" w:eastAsia="Times New Roman" w:hAnsi="Calibri" w:cs="Calibri"/>
          <w:b/>
          <w:bCs/>
          <w:kern w:val="0"/>
          <w:sz w:val="24"/>
          <w:szCs w:val="24"/>
          <w:lang w:eastAsia="it-IT"/>
          <w14:ligatures w14:val="none"/>
        </w:rPr>
        <w:t>CHANGING HABITS</w:t>
      </w:r>
    </w:p>
    <w:p w14:paraId="39B98D9C" w14:textId="509A7C1F" w:rsidR="000D5718" w:rsidRPr="00820928" w:rsidRDefault="005957F0" w:rsidP="000D5718">
      <w:pPr>
        <w:jc w:val="both"/>
        <w:rPr>
          <w:rFonts w:ascii="Calibri" w:eastAsia="Times New Roman" w:hAnsi="Calibri" w:cs="Calibri"/>
          <w:kern w:val="0"/>
          <w:sz w:val="24"/>
          <w:szCs w:val="24"/>
          <w:lang w:eastAsia="it-IT"/>
          <w14:ligatures w14:val="none"/>
        </w:rPr>
      </w:pPr>
      <w:r w:rsidRPr="00820928">
        <w:rPr>
          <w:rFonts w:ascii="Calibri" w:eastAsia="Times New Roman" w:hAnsi="Calibri" w:cs="Calibri"/>
          <w:kern w:val="0"/>
          <w:sz w:val="24"/>
          <w:szCs w:val="24"/>
          <w:lang w:eastAsia="it-IT"/>
          <w14:ligatures w14:val="none"/>
        </w:rPr>
        <w:t xml:space="preserve">Operators are noticing a shift in travel habits: average stays are getting shorter, there's a growing trend to spread </w:t>
      </w:r>
      <w:r w:rsidR="0086728A" w:rsidRPr="00820928">
        <w:rPr>
          <w:rFonts w:ascii="Calibri" w:eastAsia="Times New Roman" w:hAnsi="Calibri" w:cs="Calibri"/>
          <w:kern w:val="0"/>
          <w:sz w:val="24"/>
          <w:szCs w:val="24"/>
          <w:lang w:eastAsia="it-IT"/>
          <w14:ligatures w14:val="none"/>
        </w:rPr>
        <w:t>holidays</w:t>
      </w:r>
      <w:r w:rsidRPr="00820928">
        <w:rPr>
          <w:rFonts w:ascii="Calibri" w:eastAsia="Times New Roman" w:hAnsi="Calibri" w:cs="Calibri"/>
          <w:kern w:val="0"/>
          <w:sz w:val="24"/>
          <w:szCs w:val="24"/>
          <w:lang w:eastAsia="it-IT"/>
          <w14:ligatures w14:val="none"/>
        </w:rPr>
        <w:t xml:space="preserve"> throughout the year, and there's an increased focus on low-season periods, which are becoming prime opportunities to explore less crowded destinations.</w:t>
      </w:r>
    </w:p>
    <w:p w14:paraId="1E7A6D72" w14:textId="782F8C5F" w:rsidR="000D5718" w:rsidRPr="00820928" w:rsidRDefault="000D5718" w:rsidP="000D5718">
      <w:pPr>
        <w:jc w:val="both"/>
        <w:rPr>
          <w:rFonts w:ascii="Calibri" w:eastAsia="Times New Roman" w:hAnsi="Calibri" w:cs="Calibri"/>
          <w:b/>
          <w:bCs/>
          <w:kern w:val="0"/>
          <w:sz w:val="24"/>
          <w:szCs w:val="24"/>
          <w:lang w:eastAsia="it-IT"/>
          <w14:ligatures w14:val="none"/>
        </w:rPr>
      </w:pPr>
      <w:r w:rsidRPr="00820928">
        <w:rPr>
          <w:rFonts w:ascii="Calibri" w:eastAsia="Times New Roman" w:hAnsi="Calibri" w:cs="Calibri"/>
          <w:b/>
          <w:bCs/>
          <w:kern w:val="0"/>
          <w:sz w:val="24"/>
          <w:szCs w:val="24"/>
          <w:lang w:eastAsia="it-IT"/>
          <w14:ligatures w14:val="none"/>
        </w:rPr>
        <w:t>2025</w:t>
      </w:r>
      <w:r w:rsidR="0086728A" w:rsidRPr="00820928">
        <w:rPr>
          <w:rFonts w:ascii="Calibri" w:eastAsia="Times New Roman" w:hAnsi="Calibri" w:cs="Calibri"/>
          <w:b/>
          <w:bCs/>
          <w:kern w:val="0"/>
          <w:sz w:val="24"/>
          <w:szCs w:val="24"/>
          <w:lang w:eastAsia="it-IT"/>
          <w14:ligatures w14:val="none"/>
        </w:rPr>
        <w:t xml:space="preserve"> TRAVEL TRENDS</w:t>
      </w:r>
    </w:p>
    <w:p w14:paraId="59C564BC" w14:textId="268577F6" w:rsidR="000D5718" w:rsidRPr="00820928" w:rsidRDefault="0086728A" w:rsidP="000D5718">
      <w:pPr>
        <w:jc w:val="both"/>
        <w:rPr>
          <w:rFonts w:ascii="Calibri" w:eastAsia="Times New Roman" w:hAnsi="Calibri" w:cs="Calibri"/>
          <w:kern w:val="0"/>
          <w:sz w:val="24"/>
          <w:szCs w:val="24"/>
          <w:lang w:eastAsia="it-IT"/>
          <w14:ligatures w14:val="none"/>
        </w:rPr>
      </w:pPr>
      <w:r w:rsidRPr="00820928">
        <w:rPr>
          <w:rFonts w:ascii="Calibri" w:eastAsia="Times New Roman" w:hAnsi="Calibri" w:cs="Calibri"/>
          <w:kern w:val="0"/>
          <w:sz w:val="24"/>
          <w:szCs w:val="24"/>
          <w:lang w:eastAsia="it-IT"/>
          <w14:ligatures w14:val="none"/>
        </w:rPr>
        <w:t xml:space="preserve">The contemporary </w:t>
      </w:r>
      <w:r w:rsidR="00820928" w:rsidRPr="00820928">
        <w:rPr>
          <w:rFonts w:ascii="Calibri" w:eastAsia="Times New Roman" w:hAnsi="Calibri" w:cs="Calibri"/>
          <w:kern w:val="0"/>
          <w:sz w:val="24"/>
          <w:szCs w:val="24"/>
          <w:lang w:eastAsia="it-IT"/>
          <w14:ligatures w14:val="none"/>
        </w:rPr>
        <w:t>traveller</w:t>
      </w:r>
      <w:r w:rsidRPr="00820928">
        <w:rPr>
          <w:rFonts w:ascii="Calibri" w:eastAsia="Times New Roman" w:hAnsi="Calibri" w:cs="Calibri"/>
          <w:kern w:val="0"/>
          <w:sz w:val="24"/>
          <w:szCs w:val="24"/>
          <w:lang w:eastAsia="it-IT"/>
          <w14:ligatures w14:val="none"/>
        </w:rPr>
        <w:t xml:space="preserve"> is increasingly an "</w:t>
      </w:r>
      <w:r w:rsidRPr="00820928">
        <w:rPr>
          <w:rFonts w:ascii="Calibri" w:eastAsia="Times New Roman" w:hAnsi="Calibri" w:cs="Calibri"/>
          <w:b/>
          <w:bCs/>
          <w:kern w:val="0"/>
          <w:sz w:val="24"/>
          <w:szCs w:val="24"/>
          <w:lang w:eastAsia="it-IT"/>
          <w14:ligatures w14:val="none"/>
        </w:rPr>
        <w:t>Everything Traveller</w:t>
      </w:r>
      <w:r w:rsidRPr="00820928">
        <w:rPr>
          <w:rFonts w:ascii="Calibri" w:eastAsia="Times New Roman" w:hAnsi="Calibri" w:cs="Calibri"/>
          <w:kern w:val="0"/>
          <w:sz w:val="24"/>
          <w:szCs w:val="24"/>
          <w:lang w:eastAsia="it-IT"/>
          <w14:ligatures w14:val="none"/>
        </w:rPr>
        <w:t xml:space="preserve">," adept at combining traditional and trendy destinations, alternating between relaxation and fun, and relying more on online communities than on travel advisors. According to the SiteMinder </w:t>
      </w:r>
      <w:r w:rsidRPr="00820928">
        <w:rPr>
          <w:rFonts w:ascii="Calibri" w:eastAsia="Times New Roman" w:hAnsi="Calibri" w:cs="Calibri"/>
          <w:i/>
          <w:iCs/>
          <w:kern w:val="0"/>
          <w:sz w:val="24"/>
          <w:szCs w:val="24"/>
          <w:lang w:eastAsia="it-IT"/>
          <w14:ligatures w14:val="none"/>
        </w:rPr>
        <w:t>Changing Traveller Report 2025</w:t>
      </w:r>
      <w:r w:rsidRPr="00820928">
        <w:rPr>
          <w:rFonts w:ascii="Calibri" w:eastAsia="Times New Roman" w:hAnsi="Calibri" w:cs="Calibri"/>
          <w:kern w:val="0"/>
          <w:sz w:val="24"/>
          <w:szCs w:val="24"/>
          <w:lang w:eastAsia="it-IT"/>
          <w14:ligatures w14:val="none"/>
        </w:rPr>
        <w:t>, 69% of Italians are willing to pay more for eco-friendly facilities.</w:t>
      </w:r>
    </w:p>
    <w:p w14:paraId="04B67497" w14:textId="75693FAE" w:rsidR="000D5718" w:rsidRPr="00820928" w:rsidRDefault="0086728A" w:rsidP="000D5718">
      <w:pPr>
        <w:jc w:val="both"/>
        <w:rPr>
          <w:rFonts w:ascii="Calibri" w:eastAsia="Times New Roman" w:hAnsi="Calibri" w:cs="Calibri"/>
          <w:kern w:val="0"/>
          <w:sz w:val="24"/>
          <w:szCs w:val="24"/>
          <w:lang w:eastAsia="it-IT"/>
          <w14:ligatures w14:val="none"/>
        </w:rPr>
      </w:pPr>
      <w:r w:rsidRPr="00820928">
        <w:rPr>
          <w:rFonts w:ascii="Calibri" w:eastAsia="Times New Roman" w:hAnsi="Calibri" w:cs="Calibri"/>
          <w:kern w:val="0"/>
          <w:sz w:val="24"/>
          <w:szCs w:val="24"/>
          <w:lang w:eastAsia="it-IT"/>
          <w14:ligatures w14:val="none"/>
        </w:rPr>
        <w:t xml:space="preserve">The use of </w:t>
      </w:r>
      <w:r w:rsidRPr="00820928">
        <w:rPr>
          <w:rFonts w:ascii="Calibri" w:eastAsia="Times New Roman" w:hAnsi="Calibri" w:cs="Calibri"/>
          <w:b/>
          <w:bCs/>
          <w:kern w:val="0"/>
          <w:sz w:val="24"/>
          <w:szCs w:val="24"/>
          <w:lang w:eastAsia="it-IT"/>
          <w14:ligatures w14:val="none"/>
        </w:rPr>
        <w:t>travel agencies</w:t>
      </w:r>
      <w:r w:rsidRPr="00820928">
        <w:rPr>
          <w:rFonts w:ascii="Calibri" w:eastAsia="Times New Roman" w:hAnsi="Calibri" w:cs="Calibri"/>
          <w:kern w:val="0"/>
          <w:sz w:val="24"/>
          <w:szCs w:val="24"/>
          <w:lang w:eastAsia="it-IT"/>
          <w14:ligatures w14:val="none"/>
        </w:rPr>
        <w:t xml:space="preserve"> is increasing (+1.5%), especially for packages and organised trips. Meanwhile, </w:t>
      </w:r>
      <w:r w:rsidRPr="00820928">
        <w:rPr>
          <w:rFonts w:ascii="Calibri" w:eastAsia="Times New Roman" w:hAnsi="Calibri" w:cs="Calibri"/>
          <w:b/>
          <w:bCs/>
          <w:kern w:val="0"/>
          <w:sz w:val="24"/>
          <w:szCs w:val="24"/>
          <w:lang w:eastAsia="it-IT"/>
          <w14:ligatures w14:val="none"/>
        </w:rPr>
        <w:t>workations</w:t>
      </w:r>
      <w:r w:rsidRPr="00820928">
        <w:rPr>
          <w:rFonts w:ascii="Calibri" w:eastAsia="Times New Roman" w:hAnsi="Calibri" w:cs="Calibri"/>
          <w:kern w:val="0"/>
          <w:sz w:val="24"/>
          <w:szCs w:val="24"/>
          <w:lang w:eastAsia="it-IT"/>
          <w14:ligatures w14:val="none"/>
        </w:rPr>
        <w:t xml:space="preserve"> – working while on holiday – have become a well-established phenomenon, with 35% of Italians bringing their laptops even on holiday.</w:t>
      </w:r>
    </w:p>
    <w:p w14:paraId="66A374BC" w14:textId="1AA63D67" w:rsidR="000D5718" w:rsidRPr="00820928" w:rsidRDefault="0086728A" w:rsidP="000D5718">
      <w:pPr>
        <w:jc w:val="both"/>
        <w:rPr>
          <w:rFonts w:ascii="Calibri" w:eastAsia="Times New Roman" w:hAnsi="Calibri" w:cs="Calibri"/>
          <w:kern w:val="0"/>
          <w:sz w:val="24"/>
          <w:szCs w:val="24"/>
          <w:lang w:eastAsia="it-IT"/>
          <w14:ligatures w14:val="none"/>
        </w:rPr>
      </w:pPr>
      <w:r w:rsidRPr="00820928">
        <w:rPr>
          <w:rFonts w:ascii="Calibri" w:eastAsia="Times New Roman" w:hAnsi="Calibri" w:cs="Calibri"/>
          <w:kern w:val="0"/>
          <w:sz w:val="24"/>
          <w:szCs w:val="24"/>
          <w:lang w:eastAsia="it-IT"/>
          <w14:ligatures w14:val="none"/>
        </w:rPr>
        <w:t xml:space="preserve">Technology is becoming a travel ally: </w:t>
      </w:r>
      <w:r w:rsidRPr="00820928">
        <w:rPr>
          <w:rFonts w:ascii="Calibri" w:eastAsia="Times New Roman" w:hAnsi="Calibri" w:cs="Calibri"/>
          <w:b/>
          <w:bCs/>
          <w:kern w:val="0"/>
          <w:sz w:val="24"/>
          <w:szCs w:val="24"/>
          <w:lang w:eastAsia="it-IT"/>
          <w14:ligatures w14:val="none"/>
        </w:rPr>
        <w:t>67% of tourists</w:t>
      </w:r>
      <w:r w:rsidRPr="00820928">
        <w:rPr>
          <w:rFonts w:ascii="Calibri" w:eastAsia="Times New Roman" w:hAnsi="Calibri" w:cs="Calibri"/>
          <w:kern w:val="0"/>
          <w:sz w:val="24"/>
          <w:szCs w:val="24"/>
          <w:lang w:eastAsia="it-IT"/>
          <w14:ligatures w14:val="none"/>
        </w:rPr>
        <w:t xml:space="preserve"> have already used artificial intelligence to plan or book their holidays, and for one in four, AI is now a more authoritative source of inspiration than influencers.</w:t>
      </w:r>
      <w:r w:rsidRPr="00820928">
        <w:rPr>
          <w:rFonts w:ascii="Calibri" w:eastAsia="Times New Roman" w:hAnsi="Calibri" w:cs="Calibri"/>
          <w:kern w:val="0"/>
          <w:sz w:val="24"/>
          <w:szCs w:val="24"/>
          <w:lang w:eastAsia="it-IT"/>
          <w14:ligatures w14:val="none"/>
        </w:rPr>
        <w:br/>
        <w:t xml:space="preserve">However, there are signs of caution: </w:t>
      </w:r>
      <w:proofErr w:type="spellStart"/>
      <w:r w:rsidRPr="00820928">
        <w:rPr>
          <w:rFonts w:ascii="Calibri" w:eastAsia="Times New Roman" w:hAnsi="Calibri" w:cs="Calibri"/>
          <w:kern w:val="0"/>
          <w:sz w:val="24"/>
          <w:szCs w:val="24"/>
          <w:lang w:eastAsia="it-IT"/>
          <w14:ligatures w14:val="none"/>
        </w:rPr>
        <w:t>Federalberghi</w:t>
      </w:r>
      <w:proofErr w:type="spellEnd"/>
      <w:r w:rsidRPr="00820928">
        <w:rPr>
          <w:rFonts w:ascii="Calibri" w:eastAsia="Times New Roman" w:hAnsi="Calibri" w:cs="Calibri"/>
          <w:kern w:val="0"/>
          <w:sz w:val="24"/>
          <w:szCs w:val="24"/>
          <w:lang w:eastAsia="it-IT"/>
          <w14:ligatures w14:val="none"/>
        </w:rPr>
        <w:t xml:space="preserve"> reports a decline in Americans and Germans visiting seaside destinations, offset by the resilience of the domestic market and the excellent performance of mountain destinations.</w:t>
      </w:r>
    </w:p>
    <w:p w14:paraId="0E276B7E" w14:textId="77777777" w:rsidR="00347500" w:rsidRPr="00820928" w:rsidRDefault="00347500" w:rsidP="004E5E3A">
      <w:pPr>
        <w:jc w:val="both"/>
        <w:rPr>
          <w:b/>
          <w:bCs/>
          <w:sz w:val="18"/>
          <w:szCs w:val="18"/>
        </w:rPr>
      </w:pPr>
    </w:p>
    <w:p w14:paraId="5877D918" w14:textId="61C2EDBE" w:rsidR="004E5E3A" w:rsidRPr="00820928" w:rsidRDefault="004E5E3A" w:rsidP="004E5E3A">
      <w:pPr>
        <w:jc w:val="both"/>
        <w:rPr>
          <w:b/>
          <w:bCs/>
          <w:sz w:val="18"/>
          <w:szCs w:val="18"/>
        </w:rPr>
      </w:pPr>
      <w:r w:rsidRPr="00820928">
        <w:rPr>
          <w:b/>
          <w:bCs/>
          <w:sz w:val="18"/>
          <w:szCs w:val="18"/>
        </w:rPr>
        <w:t>ABOUT TTG TRAVEL EXPERIENCE – INOUT | The Hospitality Community</w:t>
      </w:r>
    </w:p>
    <w:p w14:paraId="1E29F914" w14:textId="77777777" w:rsidR="0086728A" w:rsidRPr="00820928" w:rsidRDefault="0086728A" w:rsidP="0086728A">
      <w:pPr>
        <w:jc w:val="both"/>
        <w:rPr>
          <w:rFonts w:ascii="Calibri" w:hAnsi="Calibri" w:cs="Calibri"/>
          <w:sz w:val="20"/>
          <w:szCs w:val="20"/>
        </w:rPr>
      </w:pPr>
      <w:r w:rsidRPr="00820928">
        <w:rPr>
          <w:rFonts w:ascii="Calibri" w:hAnsi="Calibri" w:cs="Calibri"/>
          <w:b/>
          <w:bCs/>
          <w:sz w:val="20"/>
          <w:szCs w:val="20"/>
        </w:rPr>
        <w:t>Event</w:t>
      </w:r>
      <w:r w:rsidRPr="00820928">
        <w:rPr>
          <w:rFonts w:ascii="Calibri" w:hAnsi="Calibri" w:cs="Calibri"/>
          <w:sz w:val="20"/>
          <w:szCs w:val="20"/>
        </w:rPr>
        <w:t xml:space="preserve">: international trade show; </w:t>
      </w:r>
      <w:r w:rsidRPr="00820928">
        <w:rPr>
          <w:rFonts w:ascii="Calibri" w:hAnsi="Calibri" w:cs="Calibri"/>
          <w:b/>
          <w:bCs/>
          <w:sz w:val="20"/>
          <w:szCs w:val="20"/>
        </w:rPr>
        <w:t>organiser</w:t>
      </w:r>
      <w:r w:rsidRPr="00820928">
        <w:rPr>
          <w:rFonts w:ascii="Calibri" w:hAnsi="Calibri" w:cs="Calibri"/>
          <w:sz w:val="20"/>
          <w:szCs w:val="20"/>
        </w:rPr>
        <w:t xml:space="preserve">: Italian Exhibition Group SpA; </w:t>
      </w:r>
      <w:r w:rsidRPr="00820928">
        <w:rPr>
          <w:rFonts w:ascii="Calibri" w:hAnsi="Calibri" w:cs="Calibri"/>
          <w:b/>
          <w:bCs/>
          <w:sz w:val="20"/>
          <w:szCs w:val="20"/>
        </w:rPr>
        <w:t>frequency</w:t>
      </w:r>
      <w:r w:rsidRPr="00820928">
        <w:rPr>
          <w:rFonts w:ascii="Calibri" w:hAnsi="Calibri" w:cs="Calibri"/>
          <w:sz w:val="20"/>
          <w:szCs w:val="20"/>
        </w:rPr>
        <w:t xml:space="preserve">: annual; </w:t>
      </w:r>
      <w:r w:rsidRPr="00820928">
        <w:rPr>
          <w:rFonts w:ascii="Calibri" w:hAnsi="Calibri" w:cs="Calibri"/>
          <w:b/>
          <w:bCs/>
          <w:sz w:val="20"/>
          <w:szCs w:val="20"/>
        </w:rPr>
        <w:t>edition</w:t>
      </w:r>
      <w:r w:rsidRPr="00820928">
        <w:rPr>
          <w:rFonts w:ascii="Calibri" w:hAnsi="Calibri" w:cs="Calibri"/>
          <w:sz w:val="20"/>
          <w:szCs w:val="20"/>
        </w:rPr>
        <w:t>: 62</w:t>
      </w:r>
      <w:r w:rsidRPr="00820928">
        <w:rPr>
          <w:rFonts w:ascii="Calibri" w:hAnsi="Calibri" w:cs="Calibri"/>
          <w:sz w:val="20"/>
          <w:szCs w:val="20"/>
          <w:vertAlign w:val="superscript"/>
        </w:rPr>
        <w:t>nd</w:t>
      </w:r>
      <w:r w:rsidRPr="00820928">
        <w:rPr>
          <w:rFonts w:ascii="Calibri" w:hAnsi="Calibri" w:cs="Calibri"/>
          <w:sz w:val="20"/>
          <w:szCs w:val="20"/>
        </w:rPr>
        <w:t xml:space="preserve">; </w:t>
      </w:r>
      <w:r w:rsidRPr="00820928">
        <w:rPr>
          <w:rFonts w:ascii="Calibri" w:hAnsi="Calibri" w:cs="Calibri"/>
          <w:b/>
          <w:bCs/>
          <w:sz w:val="20"/>
          <w:szCs w:val="20"/>
        </w:rPr>
        <w:t>open to</w:t>
      </w:r>
      <w:r w:rsidRPr="00820928">
        <w:rPr>
          <w:rFonts w:ascii="Calibri" w:hAnsi="Calibri" w:cs="Calibri"/>
          <w:sz w:val="20"/>
          <w:szCs w:val="20"/>
        </w:rPr>
        <w:t xml:space="preserve">: trade only; </w:t>
      </w:r>
      <w:r w:rsidRPr="00820928">
        <w:rPr>
          <w:rFonts w:ascii="Calibri" w:hAnsi="Calibri" w:cs="Calibri"/>
          <w:b/>
          <w:bCs/>
          <w:sz w:val="20"/>
          <w:szCs w:val="20"/>
        </w:rPr>
        <w:t>website</w:t>
      </w:r>
      <w:r w:rsidRPr="00820928">
        <w:rPr>
          <w:rFonts w:ascii="Calibri" w:hAnsi="Calibri" w:cs="Calibri"/>
          <w:sz w:val="20"/>
          <w:szCs w:val="20"/>
        </w:rPr>
        <w:t>: </w:t>
      </w:r>
      <w:hyperlink r:id="rId8" w:tooltip="´web" w:history="1">
        <w:r w:rsidRPr="00820928">
          <w:rPr>
            <w:rStyle w:val="Collegamentoipertestuale"/>
            <w:rFonts w:ascii="Calibri" w:hAnsi="Calibri" w:cs="Calibri"/>
            <w:sz w:val="20"/>
            <w:szCs w:val="20"/>
          </w:rPr>
          <w:t>www.ttgexpo.it</w:t>
        </w:r>
      </w:hyperlink>
      <w:r w:rsidRPr="00820928">
        <w:rPr>
          <w:rFonts w:ascii="Calibri" w:hAnsi="Calibri" w:cs="Calibri"/>
          <w:sz w:val="20"/>
          <w:szCs w:val="20"/>
        </w:rPr>
        <w:t> </w:t>
      </w:r>
      <w:hyperlink r:id="rId9" w:history="1">
        <w:r w:rsidRPr="00820928">
          <w:rPr>
            <w:rStyle w:val="Collegamentoipertestuale"/>
            <w:rFonts w:ascii="Calibri" w:hAnsi="Calibri" w:cs="Calibri"/>
            <w:sz w:val="20"/>
            <w:szCs w:val="20"/>
          </w:rPr>
          <w:t>www.inoutexpo.it</w:t>
        </w:r>
      </w:hyperlink>
      <w:r w:rsidRPr="00820928">
        <w:rPr>
          <w:rFonts w:ascii="Calibri" w:hAnsi="Calibri" w:cs="Calibri"/>
          <w:sz w:val="20"/>
          <w:szCs w:val="20"/>
        </w:rPr>
        <w:t xml:space="preserve">  </w:t>
      </w:r>
    </w:p>
    <w:p w14:paraId="11D78BA5" w14:textId="77777777" w:rsidR="004E5E3A" w:rsidRPr="00820928" w:rsidRDefault="004E5E3A" w:rsidP="004E5E3A">
      <w:pPr>
        <w:jc w:val="both"/>
        <w:rPr>
          <w:b/>
          <w:bCs/>
          <w:sz w:val="18"/>
          <w:szCs w:val="18"/>
        </w:rPr>
      </w:pPr>
      <w:r w:rsidRPr="00820928">
        <w:rPr>
          <w:b/>
          <w:bCs/>
          <w:sz w:val="18"/>
          <w:szCs w:val="18"/>
        </w:rPr>
        <w:t>PRESS CONTACT IEG, TTG TRAVEL EXPERIENCE</w:t>
      </w:r>
    </w:p>
    <w:p w14:paraId="1514FACE" w14:textId="77777777" w:rsidR="004E5E3A" w:rsidRPr="00A02F02" w:rsidRDefault="004E5E3A" w:rsidP="004E5E3A">
      <w:pPr>
        <w:jc w:val="both"/>
        <w:rPr>
          <w:sz w:val="18"/>
          <w:szCs w:val="18"/>
          <w:lang w:val="it-IT"/>
        </w:rPr>
      </w:pPr>
      <w:r w:rsidRPr="00A02F02">
        <w:rPr>
          <w:sz w:val="18"/>
          <w:szCs w:val="18"/>
          <w:lang w:val="it-IT"/>
        </w:rPr>
        <w:t>Elisabetta Vitali, head of corporate communication &amp; media relation; Marco Forcellini, Pier Francesco Bellini, press office manager</w:t>
      </w:r>
    </w:p>
    <w:p w14:paraId="057196E6" w14:textId="12D3B795" w:rsidR="004E5E3A" w:rsidRPr="00820928" w:rsidRDefault="004E5E3A" w:rsidP="004E5E3A">
      <w:pPr>
        <w:jc w:val="both"/>
        <w:rPr>
          <w:sz w:val="18"/>
          <w:szCs w:val="18"/>
          <w:u w:val="single"/>
        </w:rPr>
      </w:pPr>
      <w:hyperlink r:id="rId10" w:history="1">
        <w:r w:rsidRPr="00820928">
          <w:rPr>
            <w:rStyle w:val="Collegamentoipertestuale"/>
            <w:sz w:val="18"/>
            <w:szCs w:val="18"/>
          </w:rPr>
          <w:t>media@iegexpo.it</w:t>
        </w:r>
      </w:hyperlink>
    </w:p>
    <w:p w14:paraId="71B6989E" w14:textId="77777777" w:rsidR="004E5E3A" w:rsidRPr="00820928" w:rsidRDefault="004E5E3A" w:rsidP="004E5E3A">
      <w:pPr>
        <w:jc w:val="both"/>
        <w:rPr>
          <w:sz w:val="18"/>
          <w:szCs w:val="18"/>
          <w:u w:val="single"/>
        </w:rPr>
      </w:pPr>
      <w:r w:rsidRPr="00820928">
        <w:rPr>
          <w:b/>
          <w:bCs/>
          <w:sz w:val="18"/>
          <w:szCs w:val="18"/>
        </w:rPr>
        <w:t>MEDIA AGENCY TTG TRAVEL EXPERIENCE</w:t>
      </w:r>
    </w:p>
    <w:p w14:paraId="67C5962C" w14:textId="191287A1" w:rsidR="004E5E3A" w:rsidRPr="00A02F02" w:rsidRDefault="004E5E3A" w:rsidP="004E5E3A">
      <w:pPr>
        <w:jc w:val="both"/>
        <w:rPr>
          <w:sz w:val="18"/>
          <w:szCs w:val="18"/>
          <w:u w:val="single"/>
          <w:lang w:val="it-IT"/>
        </w:rPr>
      </w:pPr>
      <w:r w:rsidRPr="00A02F02">
        <w:rPr>
          <w:sz w:val="18"/>
          <w:szCs w:val="18"/>
          <w:lang w:val="it-IT"/>
        </w:rPr>
        <w:t xml:space="preserve">Martina Vacca: </w:t>
      </w:r>
      <w:hyperlink r:id="rId11" w:history="1">
        <w:r w:rsidRPr="00A02F02">
          <w:rPr>
            <w:rStyle w:val="Collegamentoipertestuale"/>
            <w:sz w:val="18"/>
            <w:szCs w:val="18"/>
            <w:lang w:val="it-IT"/>
          </w:rPr>
          <w:t>martina@mindthepop.it</w:t>
        </w:r>
      </w:hyperlink>
      <w:r w:rsidRPr="00A02F02">
        <w:rPr>
          <w:sz w:val="18"/>
          <w:szCs w:val="18"/>
          <w:lang w:val="it-IT"/>
        </w:rPr>
        <w:t xml:space="preserve">, mob. +39 339 748 </w:t>
      </w:r>
      <w:r w:rsidR="00790F19" w:rsidRPr="00A02F02">
        <w:rPr>
          <w:sz w:val="18"/>
          <w:szCs w:val="18"/>
          <w:lang w:val="it-IT"/>
        </w:rPr>
        <w:t>5</w:t>
      </w:r>
      <w:r w:rsidRPr="00A02F02">
        <w:rPr>
          <w:sz w:val="18"/>
          <w:szCs w:val="18"/>
          <w:lang w:val="it-IT"/>
        </w:rPr>
        <w:t xml:space="preserve">994; Fabrizio Raimondi: </w:t>
      </w:r>
      <w:hyperlink r:id="rId12" w:history="1">
        <w:r w:rsidRPr="00A02F02">
          <w:rPr>
            <w:rStyle w:val="Collegamentoipertestuale"/>
            <w:sz w:val="18"/>
            <w:szCs w:val="18"/>
            <w:lang w:val="it-IT"/>
          </w:rPr>
          <w:t>fabrizio@mindthepop.it</w:t>
        </w:r>
      </w:hyperlink>
      <w:r w:rsidRPr="00A02F02">
        <w:rPr>
          <w:sz w:val="18"/>
          <w:szCs w:val="18"/>
          <w:lang w:val="it-IT"/>
        </w:rPr>
        <w:t xml:space="preserve">, mob. +39 335 389 848; Benedetto Colli: </w:t>
      </w:r>
      <w:hyperlink r:id="rId13" w:history="1">
        <w:r w:rsidRPr="00A02F02">
          <w:rPr>
            <w:rStyle w:val="Collegamentoipertestuale"/>
            <w:sz w:val="18"/>
            <w:szCs w:val="18"/>
            <w:lang w:val="it-IT"/>
          </w:rPr>
          <w:t>benedetto@mindthepop.it</w:t>
        </w:r>
      </w:hyperlink>
      <w:r w:rsidRPr="00A02F02">
        <w:rPr>
          <w:sz w:val="18"/>
          <w:szCs w:val="18"/>
          <w:lang w:val="it-IT"/>
        </w:rPr>
        <w:t xml:space="preserve">, mob. 380 371 2272; Stefano Chiossi: </w:t>
      </w:r>
      <w:hyperlink r:id="rId14" w:history="1">
        <w:r w:rsidRPr="00A02F02">
          <w:rPr>
            <w:rStyle w:val="Collegamentoipertestuale"/>
            <w:sz w:val="18"/>
            <w:szCs w:val="18"/>
            <w:lang w:val="it-IT"/>
          </w:rPr>
          <w:t>stefano@mindthepop.it</w:t>
        </w:r>
      </w:hyperlink>
      <w:r w:rsidRPr="00A02F02">
        <w:rPr>
          <w:sz w:val="18"/>
          <w:szCs w:val="18"/>
          <w:lang w:val="it-IT"/>
        </w:rPr>
        <w:t>, mob. + 39 388 739 4358.</w:t>
      </w:r>
    </w:p>
    <w:p w14:paraId="221F0C39" w14:textId="6EC65535" w:rsidR="004E5E3A" w:rsidRDefault="004E5E3A" w:rsidP="004E5E3A">
      <w:pPr>
        <w:jc w:val="both"/>
        <w:rPr>
          <w:lang w:val="it-IT"/>
        </w:rPr>
      </w:pPr>
    </w:p>
    <w:p w14:paraId="75AA180C" w14:textId="77777777" w:rsidR="00A02F02" w:rsidRPr="009E7258" w:rsidRDefault="00A02F02" w:rsidP="00A02F02">
      <w:pPr>
        <w:jc w:val="both"/>
      </w:pPr>
    </w:p>
    <w:p w14:paraId="1969816B" w14:textId="77777777" w:rsidR="00A02F02" w:rsidRPr="009E7258" w:rsidRDefault="00A02F02" w:rsidP="00A02F02">
      <w:pPr>
        <w:jc w:val="both"/>
      </w:pPr>
      <w:r w:rsidRPr="009E7258">
        <w:rPr>
          <w:noProof/>
        </w:rPr>
        <w:drawing>
          <wp:inline distT="0" distB="0" distL="0" distR="0" wp14:anchorId="2B3E93CA" wp14:editId="1AB872F8">
            <wp:extent cx="5280660" cy="1645920"/>
            <wp:effectExtent l="0" t="0" r="0" b="0"/>
            <wp:docPr id="456236278" name="Immagine 1"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80660" cy="1645920"/>
                    </a:xfrm>
                    <a:prstGeom prst="rect">
                      <a:avLst/>
                    </a:prstGeom>
                    <a:noFill/>
                    <a:ln>
                      <a:noFill/>
                    </a:ln>
                  </pic:spPr>
                </pic:pic>
              </a:graphicData>
            </a:graphic>
          </wp:inline>
        </w:drawing>
      </w:r>
    </w:p>
    <w:p w14:paraId="7F969F7D" w14:textId="77777777" w:rsidR="00A02F02" w:rsidRPr="009E7258" w:rsidRDefault="00A02F02" w:rsidP="00A02F02">
      <w:pPr>
        <w:jc w:val="both"/>
      </w:pPr>
    </w:p>
    <w:p w14:paraId="50717266" w14:textId="77777777" w:rsidR="00A02F02" w:rsidRPr="009E7258" w:rsidRDefault="00A02F02" w:rsidP="00A02F02">
      <w:pPr>
        <w:spacing w:after="0" w:line="240" w:lineRule="auto"/>
        <w:jc w:val="both"/>
        <w:rPr>
          <w:sz w:val="16"/>
          <w:szCs w:val="16"/>
        </w:rPr>
      </w:pPr>
      <w:r w:rsidRPr="009E7258">
        <w:rPr>
          <w:rFonts w:cs="Calibri"/>
          <w:sz w:val="16"/>
          <w:szCs w:val="16"/>
        </w:rPr>
        <w:t xml:space="preserve">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w:t>
      </w:r>
      <w:proofErr w:type="gramStart"/>
      <w:r w:rsidRPr="009E7258">
        <w:rPr>
          <w:rFonts w:cs="Calibri"/>
          <w:sz w:val="16"/>
          <w:szCs w:val="16"/>
        </w:rPr>
        <w:t>complete, and</w:t>
      </w:r>
      <w:proofErr w:type="gramEnd"/>
      <w:r w:rsidRPr="009E7258">
        <w:rPr>
          <w:rFonts w:cs="Calibri"/>
          <w:sz w:val="16"/>
          <w:szCs w:val="16"/>
        </w:rPr>
        <w:t xml:space="preserve"> has not been verified by independent third parties. Forecasts, estimates and objectives contained herein are based on the information available to the Company as at the date of this release. </w:t>
      </w:r>
    </w:p>
    <w:p w14:paraId="5AA13639" w14:textId="77777777" w:rsidR="00A02F02" w:rsidRPr="00A02F02" w:rsidRDefault="00A02F02" w:rsidP="004E5E3A">
      <w:pPr>
        <w:jc w:val="both"/>
      </w:pPr>
    </w:p>
    <w:sectPr w:rsidR="00A02F02" w:rsidRPr="00A02F02">
      <w:headerReference w:type="defaul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08DF5" w14:textId="77777777" w:rsidR="00BB4B65" w:rsidRDefault="00BB4B65" w:rsidP="00D32287">
      <w:pPr>
        <w:spacing w:after="0" w:line="240" w:lineRule="auto"/>
      </w:pPr>
      <w:r>
        <w:separator/>
      </w:r>
    </w:p>
  </w:endnote>
  <w:endnote w:type="continuationSeparator" w:id="0">
    <w:p w14:paraId="4BBBAE6A" w14:textId="77777777" w:rsidR="00BB4B65" w:rsidRDefault="00BB4B65" w:rsidP="00D3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A06B8" w14:textId="77777777" w:rsidR="00BB4B65" w:rsidRDefault="00BB4B65" w:rsidP="00D32287">
      <w:pPr>
        <w:spacing w:after="0" w:line="240" w:lineRule="auto"/>
      </w:pPr>
      <w:r>
        <w:separator/>
      </w:r>
    </w:p>
  </w:footnote>
  <w:footnote w:type="continuationSeparator" w:id="0">
    <w:p w14:paraId="127D4189" w14:textId="77777777" w:rsidR="00BB4B65" w:rsidRDefault="00BB4B65" w:rsidP="00D32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B04A" w14:textId="08039333" w:rsidR="00D32287" w:rsidRPr="00CC3B27" w:rsidRDefault="00CC3B27" w:rsidP="00CC3B27">
    <w:pPr>
      <w:pStyle w:val="Intestazione"/>
    </w:pPr>
    <w:r>
      <w:rPr>
        <w:noProof/>
      </w:rPr>
      <w:drawing>
        <wp:inline distT="0" distB="0" distL="0" distR="0" wp14:anchorId="63C39B13" wp14:editId="1914ACD1">
          <wp:extent cx="6120130" cy="735965"/>
          <wp:effectExtent l="0" t="0" r="0" b="6985"/>
          <wp:docPr id="18228662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359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96F7C"/>
    <w:multiLevelType w:val="hybridMultilevel"/>
    <w:tmpl w:val="7A6C1A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A590781"/>
    <w:multiLevelType w:val="hybridMultilevel"/>
    <w:tmpl w:val="DB0845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01215009">
    <w:abstractNumId w:val="0"/>
  </w:num>
  <w:num w:numId="2" w16cid:durableId="344476111">
    <w:abstractNumId w:val="0"/>
  </w:num>
  <w:num w:numId="3" w16cid:durableId="828718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D02"/>
    <w:rsid w:val="00012EF8"/>
    <w:rsid w:val="00015F3D"/>
    <w:rsid w:val="000166AE"/>
    <w:rsid w:val="00023EDB"/>
    <w:rsid w:val="00027D8E"/>
    <w:rsid w:val="00043210"/>
    <w:rsid w:val="0004795F"/>
    <w:rsid w:val="000506EF"/>
    <w:rsid w:val="00050F5C"/>
    <w:rsid w:val="00054950"/>
    <w:rsid w:val="00085BF7"/>
    <w:rsid w:val="00091370"/>
    <w:rsid w:val="00091E00"/>
    <w:rsid w:val="000A0D30"/>
    <w:rsid w:val="000B38AD"/>
    <w:rsid w:val="000B627E"/>
    <w:rsid w:val="000C23A1"/>
    <w:rsid w:val="000D5718"/>
    <w:rsid w:val="000E39AB"/>
    <w:rsid w:val="000F5DB2"/>
    <w:rsid w:val="001148C5"/>
    <w:rsid w:val="00135538"/>
    <w:rsid w:val="001364CD"/>
    <w:rsid w:val="001437E7"/>
    <w:rsid w:val="00147EA7"/>
    <w:rsid w:val="00160C3C"/>
    <w:rsid w:val="00166E89"/>
    <w:rsid w:val="0017179E"/>
    <w:rsid w:val="00175571"/>
    <w:rsid w:val="00177CFF"/>
    <w:rsid w:val="001A17C5"/>
    <w:rsid w:val="001A2FD7"/>
    <w:rsid w:val="001B58C1"/>
    <w:rsid w:val="001C08E8"/>
    <w:rsid w:val="001C0946"/>
    <w:rsid w:val="001F0D2E"/>
    <w:rsid w:val="001F4BFE"/>
    <w:rsid w:val="001F5C1E"/>
    <w:rsid w:val="00200379"/>
    <w:rsid w:val="00211A24"/>
    <w:rsid w:val="00254923"/>
    <w:rsid w:val="00263C53"/>
    <w:rsid w:val="002758B6"/>
    <w:rsid w:val="00285785"/>
    <w:rsid w:val="00287889"/>
    <w:rsid w:val="00290D02"/>
    <w:rsid w:val="00294AE9"/>
    <w:rsid w:val="002A49E4"/>
    <w:rsid w:val="002B2AF0"/>
    <w:rsid w:val="002D22C9"/>
    <w:rsid w:val="002F48B6"/>
    <w:rsid w:val="00300EA7"/>
    <w:rsid w:val="00314CAB"/>
    <w:rsid w:val="003356D7"/>
    <w:rsid w:val="0034253A"/>
    <w:rsid w:val="00344E96"/>
    <w:rsid w:val="003454C7"/>
    <w:rsid w:val="00347500"/>
    <w:rsid w:val="003503C5"/>
    <w:rsid w:val="00351D6A"/>
    <w:rsid w:val="0035210C"/>
    <w:rsid w:val="00354D63"/>
    <w:rsid w:val="00363AB4"/>
    <w:rsid w:val="00364189"/>
    <w:rsid w:val="00384359"/>
    <w:rsid w:val="003851EE"/>
    <w:rsid w:val="0039451C"/>
    <w:rsid w:val="00395EDC"/>
    <w:rsid w:val="003B6821"/>
    <w:rsid w:val="003C0B92"/>
    <w:rsid w:val="003C1E5C"/>
    <w:rsid w:val="003C3F73"/>
    <w:rsid w:val="003C4B4D"/>
    <w:rsid w:val="003C7D2C"/>
    <w:rsid w:val="003D54B6"/>
    <w:rsid w:val="003E2E20"/>
    <w:rsid w:val="003F248A"/>
    <w:rsid w:val="003F41A0"/>
    <w:rsid w:val="00412389"/>
    <w:rsid w:val="0043315B"/>
    <w:rsid w:val="0043469B"/>
    <w:rsid w:val="00435256"/>
    <w:rsid w:val="00451C25"/>
    <w:rsid w:val="00465D7C"/>
    <w:rsid w:val="00465F95"/>
    <w:rsid w:val="00482E6A"/>
    <w:rsid w:val="00491CC9"/>
    <w:rsid w:val="0049494C"/>
    <w:rsid w:val="004A1A67"/>
    <w:rsid w:val="004A3E17"/>
    <w:rsid w:val="004B63EE"/>
    <w:rsid w:val="004E5AD0"/>
    <w:rsid w:val="004E5E3A"/>
    <w:rsid w:val="004F6310"/>
    <w:rsid w:val="004F7DC8"/>
    <w:rsid w:val="00507928"/>
    <w:rsid w:val="005234F8"/>
    <w:rsid w:val="00524B3D"/>
    <w:rsid w:val="005313B9"/>
    <w:rsid w:val="00542E2E"/>
    <w:rsid w:val="005516B0"/>
    <w:rsid w:val="00557E6F"/>
    <w:rsid w:val="00572508"/>
    <w:rsid w:val="00585975"/>
    <w:rsid w:val="00587269"/>
    <w:rsid w:val="0059095E"/>
    <w:rsid w:val="00591E46"/>
    <w:rsid w:val="005957F0"/>
    <w:rsid w:val="005A5646"/>
    <w:rsid w:val="005A7FBB"/>
    <w:rsid w:val="005B36CA"/>
    <w:rsid w:val="005B5FA5"/>
    <w:rsid w:val="005D3EFB"/>
    <w:rsid w:val="005D5165"/>
    <w:rsid w:val="005E44B5"/>
    <w:rsid w:val="006203E0"/>
    <w:rsid w:val="006327D7"/>
    <w:rsid w:val="00670424"/>
    <w:rsid w:val="00675E96"/>
    <w:rsid w:val="00682E1A"/>
    <w:rsid w:val="006907E9"/>
    <w:rsid w:val="00695B5D"/>
    <w:rsid w:val="006A0FA9"/>
    <w:rsid w:val="006A25CC"/>
    <w:rsid w:val="006A3CEB"/>
    <w:rsid w:val="006A5158"/>
    <w:rsid w:val="006A6040"/>
    <w:rsid w:val="006B0797"/>
    <w:rsid w:val="006B5475"/>
    <w:rsid w:val="006D3EC4"/>
    <w:rsid w:val="006F5292"/>
    <w:rsid w:val="006F75C9"/>
    <w:rsid w:val="00757AFF"/>
    <w:rsid w:val="00774381"/>
    <w:rsid w:val="00777512"/>
    <w:rsid w:val="007808CD"/>
    <w:rsid w:val="00780CE7"/>
    <w:rsid w:val="00790F19"/>
    <w:rsid w:val="00793019"/>
    <w:rsid w:val="007C539A"/>
    <w:rsid w:val="007D2954"/>
    <w:rsid w:val="00802AE9"/>
    <w:rsid w:val="00814F93"/>
    <w:rsid w:val="00815807"/>
    <w:rsid w:val="00816B12"/>
    <w:rsid w:val="00817768"/>
    <w:rsid w:val="00820928"/>
    <w:rsid w:val="00826EFB"/>
    <w:rsid w:val="00826F2F"/>
    <w:rsid w:val="00837F04"/>
    <w:rsid w:val="00845B2D"/>
    <w:rsid w:val="008573FC"/>
    <w:rsid w:val="00861C00"/>
    <w:rsid w:val="00865A6C"/>
    <w:rsid w:val="0086728A"/>
    <w:rsid w:val="008718F5"/>
    <w:rsid w:val="00877232"/>
    <w:rsid w:val="008841BF"/>
    <w:rsid w:val="00884B02"/>
    <w:rsid w:val="0088617B"/>
    <w:rsid w:val="00897683"/>
    <w:rsid w:val="008A294D"/>
    <w:rsid w:val="008C137D"/>
    <w:rsid w:val="008E4058"/>
    <w:rsid w:val="008E5DC1"/>
    <w:rsid w:val="008F6C7A"/>
    <w:rsid w:val="0092684E"/>
    <w:rsid w:val="0092771F"/>
    <w:rsid w:val="00936E39"/>
    <w:rsid w:val="0096405A"/>
    <w:rsid w:val="00981E5D"/>
    <w:rsid w:val="00983262"/>
    <w:rsid w:val="00993731"/>
    <w:rsid w:val="009C1D77"/>
    <w:rsid w:val="009D7613"/>
    <w:rsid w:val="009E5284"/>
    <w:rsid w:val="009F0AE2"/>
    <w:rsid w:val="009F6A63"/>
    <w:rsid w:val="00A02F02"/>
    <w:rsid w:val="00A177F5"/>
    <w:rsid w:val="00A24873"/>
    <w:rsid w:val="00A24AEC"/>
    <w:rsid w:val="00A33A8F"/>
    <w:rsid w:val="00A34FB0"/>
    <w:rsid w:val="00A43DF2"/>
    <w:rsid w:val="00A53692"/>
    <w:rsid w:val="00A538FC"/>
    <w:rsid w:val="00A66FF7"/>
    <w:rsid w:val="00A87394"/>
    <w:rsid w:val="00A9107B"/>
    <w:rsid w:val="00A91C8B"/>
    <w:rsid w:val="00A93A00"/>
    <w:rsid w:val="00AB0C12"/>
    <w:rsid w:val="00AB639B"/>
    <w:rsid w:val="00AE01AA"/>
    <w:rsid w:val="00AE36E9"/>
    <w:rsid w:val="00AE4D68"/>
    <w:rsid w:val="00AF4DF7"/>
    <w:rsid w:val="00AF7995"/>
    <w:rsid w:val="00AF7DB9"/>
    <w:rsid w:val="00B056CC"/>
    <w:rsid w:val="00B22342"/>
    <w:rsid w:val="00B313A5"/>
    <w:rsid w:val="00B32D81"/>
    <w:rsid w:val="00B36189"/>
    <w:rsid w:val="00B51DB1"/>
    <w:rsid w:val="00B54D17"/>
    <w:rsid w:val="00B576A4"/>
    <w:rsid w:val="00B618F4"/>
    <w:rsid w:val="00B6347F"/>
    <w:rsid w:val="00B67EB6"/>
    <w:rsid w:val="00B84968"/>
    <w:rsid w:val="00B87CB0"/>
    <w:rsid w:val="00BA14AE"/>
    <w:rsid w:val="00BB4B65"/>
    <w:rsid w:val="00BC34A7"/>
    <w:rsid w:val="00BC42AB"/>
    <w:rsid w:val="00BE3959"/>
    <w:rsid w:val="00BE4CA8"/>
    <w:rsid w:val="00BF2420"/>
    <w:rsid w:val="00BF255F"/>
    <w:rsid w:val="00C03526"/>
    <w:rsid w:val="00C05C77"/>
    <w:rsid w:val="00C12011"/>
    <w:rsid w:val="00C1739A"/>
    <w:rsid w:val="00C463BF"/>
    <w:rsid w:val="00C46598"/>
    <w:rsid w:val="00C73E22"/>
    <w:rsid w:val="00C73F15"/>
    <w:rsid w:val="00C845CF"/>
    <w:rsid w:val="00CA7427"/>
    <w:rsid w:val="00CC3B27"/>
    <w:rsid w:val="00CD394C"/>
    <w:rsid w:val="00CE084A"/>
    <w:rsid w:val="00CE58E1"/>
    <w:rsid w:val="00CF00D1"/>
    <w:rsid w:val="00CF2D00"/>
    <w:rsid w:val="00CF5191"/>
    <w:rsid w:val="00CF5456"/>
    <w:rsid w:val="00D027C0"/>
    <w:rsid w:val="00D04DDA"/>
    <w:rsid w:val="00D204D2"/>
    <w:rsid w:val="00D207E6"/>
    <w:rsid w:val="00D2118E"/>
    <w:rsid w:val="00D274DE"/>
    <w:rsid w:val="00D30775"/>
    <w:rsid w:val="00D32287"/>
    <w:rsid w:val="00D34821"/>
    <w:rsid w:val="00D4386F"/>
    <w:rsid w:val="00D4631D"/>
    <w:rsid w:val="00D614CC"/>
    <w:rsid w:val="00D6229D"/>
    <w:rsid w:val="00D67167"/>
    <w:rsid w:val="00D757CA"/>
    <w:rsid w:val="00D86C8E"/>
    <w:rsid w:val="00D955D5"/>
    <w:rsid w:val="00D96228"/>
    <w:rsid w:val="00DB6B98"/>
    <w:rsid w:val="00DC147E"/>
    <w:rsid w:val="00DD15DF"/>
    <w:rsid w:val="00DE02F1"/>
    <w:rsid w:val="00DE1D65"/>
    <w:rsid w:val="00DF11AA"/>
    <w:rsid w:val="00DF3CE9"/>
    <w:rsid w:val="00DF5066"/>
    <w:rsid w:val="00E00FA8"/>
    <w:rsid w:val="00E042C2"/>
    <w:rsid w:val="00E14BB6"/>
    <w:rsid w:val="00E17A3C"/>
    <w:rsid w:val="00E26884"/>
    <w:rsid w:val="00E36D3B"/>
    <w:rsid w:val="00E403F9"/>
    <w:rsid w:val="00E41EF0"/>
    <w:rsid w:val="00E51A0C"/>
    <w:rsid w:val="00E55DF4"/>
    <w:rsid w:val="00E5784E"/>
    <w:rsid w:val="00E81067"/>
    <w:rsid w:val="00EA3225"/>
    <w:rsid w:val="00EF6C86"/>
    <w:rsid w:val="00F05004"/>
    <w:rsid w:val="00F16AF3"/>
    <w:rsid w:val="00F256F9"/>
    <w:rsid w:val="00F25AB9"/>
    <w:rsid w:val="00F77900"/>
    <w:rsid w:val="00FB281E"/>
    <w:rsid w:val="00FB6837"/>
    <w:rsid w:val="00FC1B50"/>
    <w:rsid w:val="00FD1CF4"/>
    <w:rsid w:val="00FE11A1"/>
    <w:rsid w:val="00FE4FE4"/>
    <w:rsid w:val="00FF2D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3F81E"/>
  <w15:chartTrackingRefBased/>
  <w15:docId w15:val="{3AD17AB7-558F-4EF2-B225-7D2B66CE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en-GB"/>
    </w:rPr>
  </w:style>
  <w:style w:type="paragraph" w:styleId="Titolo1">
    <w:name w:val="heading 1"/>
    <w:basedOn w:val="Normale"/>
    <w:next w:val="Normale"/>
    <w:link w:val="Titolo1Carattere"/>
    <w:uiPriority w:val="9"/>
    <w:qFormat/>
    <w:rsid w:val="00290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290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90D0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90D0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90D0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90D0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90D0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90D0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90D0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90D0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290D0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90D0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90D0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90D0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90D0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90D0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90D0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90D02"/>
    <w:rPr>
      <w:rFonts w:eastAsiaTheme="majorEastAsia" w:cstheme="majorBidi"/>
      <w:color w:val="272727" w:themeColor="text1" w:themeTint="D8"/>
    </w:rPr>
  </w:style>
  <w:style w:type="paragraph" w:styleId="Titolo">
    <w:name w:val="Title"/>
    <w:basedOn w:val="Normale"/>
    <w:next w:val="Normale"/>
    <w:link w:val="TitoloCarattere"/>
    <w:uiPriority w:val="10"/>
    <w:qFormat/>
    <w:rsid w:val="00290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90D0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90D0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90D0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90D0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90D02"/>
    <w:rPr>
      <w:i/>
      <w:iCs/>
      <w:color w:val="404040" w:themeColor="text1" w:themeTint="BF"/>
    </w:rPr>
  </w:style>
  <w:style w:type="paragraph" w:styleId="Paragrafoelenco">
    <w:name w:val="List Paragraph"/>
    <w:basedOn w:val="Normale"/>
    <w:uiPriority w:val="34"/>
    <w:qFormat/>
    <w:rsid w:val="00290D02"/>
    <w:pPr>
      <w:ind w:left="720"/>
      <w:contextualSpacing/>
    </w:pPr>
  </w:style>
  <w:style w:type="character" w:styleId="Enfasiintensa">
    <w:name w:val="Intense Emphasis"/>
    <w:basedOn w:val="Carpredefinitoparagrafo"/>
    <w:uiPriority w:val="21"/>
    <w:qFormat/>
    <w:rsid w:val="00290D02"/>
    <w:rPr>
      <w:i/>
      <w:iCs/>
      <w:color w:val="0F4761" w:themeColor="accent1" w:themeShade="BF"/>
    </w:rPr>
  </w:style>
  <w:style w:type="paragraph" w:styleId="Citazioneintensa">
    <w:name w:val="Intense Quote"/>
    <w:basedOn w:val="Normale"/>
    <w:next w:val="Normale"/>
    <w:link w:val="CitazioneintensaCarattere"/>
    <w:uiPriority w:val="30"/>
    <w:qFormat/>
    <w:rsid w:val="0029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90D02"/>
    <w:rPr>
      <w:i/>
      <w:iCs/>
      <w:color w:val="0F4761" w:themeColor="accent1" w:themeShade="BF"/>
    </w:rPr>
  </w:style>
  <w:style w:type="character" w:styleId="Riferimentointenso">
    <w:name w:val="Intense Reference"/>
    <w:basedOn w:val="Carpredefinitoparagrafo"/>
    <w:uiPriority w:val="32"/>
    <w:qFormat/>
    <w:rsid w:val="00290D02"/>
    <w:rPr>
      <w:b/>
      <w:bCs/>
      <w:smallCaps/>
      <w:color w:val="0F4761" w:themeColor="accent1" w:themeShade="BF"/>
      <w:spacing w:val="5"/>
    </w:rPr>
  </w:style>
  <w:style w:type="character" w:styleId="Collegamentoipertestuale">
    <w:name w:val="Hyperlink"/>
    <w:basedOn w:val="Carpredefinitoparagrafo"/>
    <w:uiPriority w:val="99"/>
    <w:unhideWhenUsed/>
    <w:rsid w:val="003F41A0"/>
    <w:rPr>
      <w:color w:val="467886" w:themeColor="hyperlink"/>
      <w:u w:val="single"/>
    </w:rPr>
  </w:style>
  <w:style w:type="character" w:styleId="Menzionenonrisolta">
    <w:name w:val="Unresolved Mention"/>
    <w:basedOn w:val="Carpredefinitoparagrafo"/>
    <w:uiPriority w:val="99"/>
    <w:semiHidden/>
    <w:unhideWhenUsed/>
    <w:rsid w:val="00E042C2"/>
    <w:rPr>
      <w:color w:val="605E5C"/>
      <w:shd w:val="clear" w:color="auto" w:fill="E1DFDD"/>
    </w:rPr>
  </w:style>
  <w:style w:type="paragraph" w:styleId="Intestazione">
    <w:name w:val="header"/>
    <w:basedOn w:val="Normale"/>
    <w:link w:val="IntestazioneCarattere"/>
    <w:uiPriority w:val="99"/>
    <w:unhideWhenUsed/>
    <w:rsid w:val="00D3228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32287"/>
  </w:style>
  <w:style w:type="paragraph" w:styleId="Pidipagina">
    <w:name w:val="footer"/>
    <w:basedOn w:val="Normale"/>
    <w:link w:val="PidipaginaCarattere"/>
    <w:uiPriority w:val="99"/>
    <w:unhideWhenUsed/>
    <w:rsid w:val="00D3228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32287"/>
  </w:style>
  <w:style w:type="character" w:customStyle="1" w:styleId="apple-converted-space">
    <w:name w:val="apple-converted-space"/>
    <w:basedOn w:val="Carpredefinitoparagrafo"/>
    <w:rsid w:val="00027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2530">
      <w:bodyDiv w:val="1"/>
      <w:marLeft w:val="0"/>
      <w:marRight w:val="0"/>
      <w:marTop w:val="0"/>
      <w:marBottom w:val="0"/>
      <w:divBdr>
        <w:top w:val="none" w:sz="0" w:space="0" w:color="auto"/>
        <w:left w:val="none" w:sz="0" w:space="0" w:color="auto"/>
        <w:bottom w:val="none" w:sz="0" w:space="0" w:color="auto"/>
        <w:right w:val="none" w:sz="0" w:space="0" w:color="auto"/>
      </w:divBdr>
    </w:div>
    <w:div w:id="78988365">
      <w:bodyDiv w:val="1"/>
      <w:marLeft w:val="0"/>
      <w:marRight w:val="0"/>
      <w:marTop w:val="0"/>
      <w:marBottom w:val="0"/>
      <w:divBdr>
        <w:top w:val="none" w:sz="0" w:space="0" w:color="auto"/>
        <w:left w:val="none" w:sz="0" w:space="0" w:color="auto"/>
        <w:bottom w:val="none" w:sz="0" w:space="0" w:color="auto"/>
        <w:right w:val="none" w:sz="0" w:space="0" w:color="auto"/>
      </w:divBdr>
    </w:div>
    <w:div w:id="141847227">
      <w:bodyDiv w:val="1"/>
      <w:marLeft w:val="0"/>
      <w:marRight w:val="0"/>
      <w:marTop w:val="0"/>
      <w:marBottom w:val="0"/>
      <w:divBdr>
        <w:top w:val="none" w:sz="0" w:space="0" w:color="auto"/>
        <w:left w:val="none" w:sz="0" w:space="0" w:color="auto"/>
        <w:bottom w:val="none" w:sz="0" w:space="0" w:color="auto"/>
        <w:right w:val="none" w:sz="0" w:space="0" w:color="auto"/>
      </w:divBdr>
    </w:div>
    <w:div w:id="657418431">
      <w:bodyDiv w:val="1"/>
      <w:marLeft w:val="0"/>
      <w:marRight w:val="0"/>
      <w:marTop w:val="0"/>
      <w:marBottom w:val="0"/>
      <w:divBdr>
        <w:top w:val="none" w:sz="0" w:space="0" w:color="auto"/>
        <w:left w:val="none" w:sz="0" w:space="0" w:color="auto"/>
        <w:bottom w:val="none" w:sz="0" w:space="0" w:color="auto"/>
        <w:right w:val="none" w:sz="0" w:space="0" w:color="auto"/>
      </w:divBdr>
    </w:div>
    <w:div w:id="819687938">
      <w:bodyDiv w:val="1"/>
      <w:marLeft w:val="0"/>
      <w:marRight w:val="0"/>
      <w:marTop w:val="0"/>
      <w:marBottom w:val="0"/>
      <w:divBdr>
        <w:top w:val="none" w:sz="0" w:space="0" w:color="auto"/>
        <w:left w:val="none" w:sz="0" w:space="0" w:color="auto"/>
        <w:bottom w:val="none" w:sz="0" w:space="0" w:color="auto"/>
        <w:right w:val="none" w:sz="0" w:space="0" w:color="auto"/>
      </w:divBdr>
    </w:div>
    <w:div w:id="883712605">
      <w:bodyDiv w:val="1"/>
      <w:marLeft w:val="0"/>
      <w:marRight w:val="0"/>
      <w:marTop w:val="0"/>
      <w:marBottom w:val="0"/>
      <w:divBdr>
        <w:top w:val="none" w:sz="0" w:space="0" w:color="auto"/>
        <w:left w:val="none" w:sz="0" w:space="0" w:color="auto"/>
        <w:bottom w:val="none" w:sz="0" w:space="0" w:color="auto"/>
        <w:right w:val="none" w:sz="0" w:space="0" w:color="auto"/>
      </w:divBdr>
    </w:div>
    <w:div w:id="939602602">
      <w:bodyDiv w:val="1"/>
      <w:marLeft w:val="0"/>
      <w:marRight w:val="0"/>
      <w:marTop w:val="0"/>
      <w:marBottom w:val="0"/>
      <w:divBdr>
        <w:top w:val="none" w:sz="0" w:space="0" w:color="auto"/>
        <w:left w:val="none" w:sz="0" w:space="0" w:color="auto"/>
        <w:bottom w:val="none" w:sz="0" w:space="0" w:color="auto"/>
        <w:right w:val="none" w:sz="0" w:space="0" w:color="auto"/>
      </w:divBdr>
    </w:div>
    <w:div w:id="1002513829">
      <w:bodyDiv w:val="1"/>
      <w:marLeft w:val="0"/>
      <w:marRight w:val="0"/>
      <w:marTop w:val="0"/>
      <w:marBottom w:val="0"/>
      <w:divBdr>
        <w:top w:val="none" w:sz="0" w:space="0" w:color="auto"/>
        <w:left w:val="none" w:sz="0" w:space="0" w:color="auto"/>
        <w:bottom w:val="none" w:sz="0" w:space="0" w:color="auto"/>
        <w:right w:val="none" w:sz="0" w:space="0" w:color="auto"/>
      </w:divBdr>
    </w:div>
    <w:div w:id="1126512121">
      <w:bodyDiv w:val="1"/>
      <w:marLeft w:val="0"/>
      <w:marRight w:val="0"/>
      <w:marTop w:val="0"/>
      <w:marBottom w:val="0"/>
      <w:divBdr>
        <w:top w:val="none" w:sz="0" w:space="0" w:color="auto"/>
        <w:left w:val="none" w:sz="0" w:space="0" w:color="auto"/>
        <w:bottom w:val="none" w:sz="0" w:space="0" w:color="auto"/>
        <w:right w:val="none" w:sz="0" w:space="0" w:color="auto"/>
      </w:divBdr>
    </w:div>
    <w:div w:id="1171214948">
      <w:bodyDiv w:val="1"/>
      <w:marLeft w:val="0"/>
      <w:marRight w:val="0"/>
      <w:marTop w:val="0"/>
      <w:marBottom w:val="0"/>
      <w:divBdr>
        <w:top w:val="none" w:sz="0" w:space="0" w:color="auto"/>
        <w:left w:val="none" w:sz="0" w:space="0" w:color="auto"/>
        <w:bottom w:val="none" w:sz="0" w:space="0" w:color="auto"/>
        <w:right w:val="none" w:sz="0" w:space="0" w:color="auto"/>
      </w:divBdr>
    </w:div>
    <w:div w:id="1590772449">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833715627">
      <w:bodyDiv w:val="1"/>
      <w:marLeft w:val="0"/>
      <w:marRight w:val="0"/>
      <w:marTop w:val="0"/>
      <w:marBottom w:val="0"/>
      <w:divBdr>
        <w:top w:val="none" w:sz="0" w:space="0" w:color="auto"/>
        <w:left w:val="none" w:sz="0" w:space="0" w:color="auto"/>
        <w:bottom w:val="none" w:sz="0" w:space="0" w:color="auto"/>
        <w:right w:val="none" w:sz="0" w:space="0" w:color="auto"/>
      </w:divBdr>
    </w:div>
    <w:div w:id="205897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vcww.dominio-fiera.local/gestionecww/template/%C2%B4http:/www.ttgexpo.it" TargetMode="External"/><Relationship Id="rId13" Type="http://schemas.openxmlformats.org/officeDocument/2006/relationships/hyperlink" Target="mailto:benedetto@mindthepop.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tgexpo.it" TargetMode="External"/><Relationship Id="rId12" Type="http://schemas.openxmlformats.org/officeDocument/2006/relationships/hyperlink" Target="mailto:fabrizio@mindthepop.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tina@mindthepop.it"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mailto:media@iegexpo.it" TargetMode="External"/><Relationship Id="rId4" Type="http://schemas.openxmlformats.org/officeDocument/2006/relationships/webSettings" Target="webSettings.xml"/><Relationship Id="rId9" Type="http://schemas.openxmlformats.org/officeDocument/2006/relationships/hyperlink" Target="http://www.inoutexpo.it" TargetMode="External"/><Relationship Id="rId14" Type="http://schemas.openxmlformats.org/officeDocument/2006/relationships/hyperlink" Target="mailto:stefano@mindthepo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80</TotalTime>
  <Pages>3</Pages>
  <Words>1117</Words>
  <Characters>6369</Characters>
  <Application>Microsoft Office Word</Application>
  <DocSecurity>0</DocSecurity>
  <Lines>53</Lines>
  <Paragraphs>14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Vacca</dc:creator>
  <cp:keywords/>
  <dc:description/>
  <cp:lastModifiedBy>Nicoletta Evangelisti</cp:lastModifiedBy>
  <cp:revision>5</cp:revision>
  <cp:lastPrinted>2025-04-28T07:29:00Z</cp:lastPrinted>
  <dcterms:created xsi:type="dcterms:W3CDTF">2025-10-02T11:16:00Z</dcterms:created>
  <dcterms:modified xsi:type="dcterms:W3CDTF">2025-10-09T08:41:00Z</dcterms:modified>
</cp:coreProperties>
</file>