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77777777"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4</w:t>
      </w:r>
    </w:p>
    <w:p w14:paraId="19F334C1" w14:textId="77777777" w:rsidR="00E41EF0" w:rsidRDefault="006B0797" w:rsidP="00F25AB9">
      <w:pPr>
        <w:spacing w:before="100" w:beforeAutospacing="1" w:after="100" w:afterAutospacing="1" w:line="240" w:lineRule="auto"/>
        <w:jc w:val="center"/>
        <w:rPr>
          <w:rFonts w:ascii="Calibri" w:eastAsia="Times New Roman" w:hAnsi="Calibri" w:cs="Calibri"/>
          <w:b/>
          <w:bCs/>
          <w:kern w:val="36"/>
          <w:sz w:val="24"/>
          <w:szCs w:val="24"/>
          <w:lang w:eastAsia="it-IT"/>
          <w14:ligatures w14:val="none"/>
        </w:rPr>
      </w:pPr>
      <w:r w:rsidRPr="006B0797">
        <w:rPr>
          <w:rFonts w:ascii="Calibri" w:eastAsia="Times New Roman" w:hAnsi="Calibri" w:cs="Calibri"/>
          <w:b/>
          <w:bCs/>
          <w:kern w:val="36"/>
          <w:sz w:val="24"/>
          <w:szCs w:val="24"/>
          <w:lang w:eastAsia="it-IT"/>
          <w14:ligatures w14:val="none"/>
        </w:rPr>
        <w:t>TURISMO IN CRESCITA E HOTEL AL CENTRO: IL 2025 SEGNA UNA SVOLTA PER L’HOSPITALITY</w:t>
      </w:r>
    </w:p>
    <w:p w14:paraId="4908B3B6" w14:textId="0AEF5096" w:rsidR="00F25AB9" w:rsidRPr="00F25AB9" w:rsidRDefault="00F25AB9" w:rsidP="00F25AB9">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hyperlink r:id="rId7" w:history="1">
        <w:r w:rsidRPr="00F25AB9">
          <w:rPr>
            <w:rStyle w:val="Collegamentoipertestuale"/>
            <w:rFonts w:ascii="Times New Roman" w:eastAsia="Times New Roman" w:hAnsi="Times New Roman" w:cs="Times New Roman"/>
            <w:kern w:val="0"/>
            <w:sz w:val="24"/>
            <w:szCs w:val="24"/>
            <w:lang w:eastAsia="it-IT"/>
            <w14:ligatures w14:val="none"/>
          </w:rPr>
          <w:t>www.ttgexpo.it</w:t>
        </w:r>
      </w:hyperlink>
      <w:r>
        <w:rPr>
          <w:rFonts w:ascii="Times New Roman" w:eastAsia="Times New Roman" w:hAnsi="Times New Roman" w:cs="Times New Roman"/>
          <w:kern w:val="0"/>
          <w:sz w:val="24"/>
          <w:szCs w:val="24"/>
          <w:lang w:eastAsia="it-IT"/>
          <w14:ligatures w14:val="none"/>
        </w:rPr>
        <w:t xml:space="preserve"> | www.inout.it</w:t>
      </w:r>
    </w:p>
    <w:p w14:paraId="467C5F92" w14:textId="219B296F" w:rsidR="000D5718" w:rsidRPr="000D5718" w:rsidRDefault="00B140F3" w:rsidP="000D5718">
      <w:pPr>
        <w:jc w:val="both"/>
        <w:rPr>
          <w:rFonts w:ascii="Calibri" w:eastAsia="Times New Roman" w:hAnsi="Calibri" w:cs="Calibri"/>
          <w:kern w:val="0"/>
          <w:sz w:val="24"/>
          <w:szCs w:val="24"/>
          <w:lang w:eastAsia="it-IT"/>
          <w14:ligatures w14:val="none"/>
        </w:rPr>
      </w:pPr>
      <w:r w:rsidRPr="000B4365">
        <w:rPr>
          <w:rFonts w:ascii="Calibri" w:hAnsi="Calibri" w:cs="Calibri"/>
          <w:i/>
          <w:iCs/>
        </w:rPr>
        <w:t>Rimini,</w:t>
      </w:r>
      <w:r>
        <w:rPr>
          <w:rFonts w:ascii="Calibri" w:hAnsi="Calibri" w:cs="Calibri"/>
          <w:i/>
          <w:iCs/>
        </w:rPr>
        <w:t xml:space="preserve"> </w:t>
      </w:r>
      <w:proofErr w:type="gramStart"/>
      <w:r>
        <w:rPr>
          <w:rFonts w:ascii="Calibri" w:hAnsi="Calibri" w:cs="Calibri"/>
          <w:i/>
          <w:iCs/>
        </w:rPr>
        <w:t>1</w:t>
      </w:r>
      <w:r>
        <w:rPr>
          <w:rFonts w:ascii="Calibri" w:hAnsi="Calibri" w:cs="Calibri"/>
          <w:i/>
          <w:iCs/>
        </w:rPr>
        <w:t xml:space="preserve"> </w:t>
      </w:r>
      <w:r w:rsidRPr="000B4365">
        <w:rPr>
          <w:rFonts w:ascii="Calibri" w:hAnsi="Calibri" w:cs="Calibri"/>
          <w:i/>
          <w:iCs/>
        </w:rPr>
        <w:t>ottobre</w:t>
      </w:r>
      <w:proofErr w:type="gramEnd"/>
      <w:r w:rsidRPr="000B4365">
        <w:rPr>
          <w:rFonts w:ascii="Calibri" w:hAnsi="Calibri" w:cs="Calibri"/>
          <w:i/>
          <w:iCs/>
        </w:rPr>
        <w:t xml:space="preserve"> 2025</w:t>
      </w:r>
      <w:r w:rsidRPr="000B4365">
        <w:rPr>
          <w:rFonts w:ascii="Calibri" w:hAnsi="Calibri" w:cs="Calibri"/>
        </w:rPr>
        <w:t xml:space="preserve"> – </w:t>
      </w:r>
      <w:r w:rsidR="000D5718" w:rsidRPr="000D5718">
        <w:rPr>
          <w:rFonts w:ascii="Calibri" w:eastAsia="Times New Roman" w:hAnsi="Calibri" w:cs="Calibri"/>
          <w:kern w:val="0"/>
          <w:sz w:val="24"/>
          <w:szCs w:val="24"/>
          <w:lang w:eastAsia="it-IT"/>
          <w14:ligatures w14:val="none"/>
        </w:rPr>
        <w:t xml:space="preserve">Il 2025 si profila come uno degli anni più positivi per il turismo italiano. Secondo il rapporto annuale </w:t>
      </w:r>
      <w:r w:rsidR="000D5718" w:rsidRPr="000D5718">
        <w:rPr>
          <w:rFonts w:ascii="Calibri" w:eastAsia="Times New Roman" w:hAnsi="Calibri" w:cs="Calibri"/>
          <w:i/>
          <w:iCs/>
          <w:kern w:val="0"/>
          <w:sz w:val="24"/>
          <w:szCs w:val="24"/>
          <w:lang w:eastAsia="it-IT"/>
          <w14:ligatures w14:val="none"/>
        </w:rPr>
        <w:t>“Turismo e territorio. Tendenze, impatti e dinamiche d’impresa”</w:t>
      </w:r>
      <w:r w:rsidR="000D5718" w:rsidRPr="000D5718">
        <w:rPr>
          <w:rFonts w:ascii="Calibri" w:eastAsia="Times New Roman" w:hAnsi="Calibri" w:cs="Calibri"/>
          <w:kern w:val="0"/>
          <w:sz w:val="24"/>
          <w:szCs w:val="24"/>
          <w:lang w:eastAsia="it-IT"/>
          <w14:ligatures w14:val="none"/>
        </w:rPr>
        <w:t xml:space="preserve"> del centro studi SRM-Intesa Sanpaolo, le presenze turistiche potrebbero superare i </w:t>
      </w:r>
      <w:r w:rsidR="000D5718" w:rsidRPr="000D5718">
        <w:rPr>
          <w:rFonts w:ascii="Calibri" w:eastAsia="Times New Roman" w:hAnsi="Calibri" w:cs="Calibri"/>
          <w:b/>
          <w:bCs/>
          <w:kern w:val="0"/>
          <w:sz w:val="24"/>
          <w:szCs w:val="24"/>
          <w:lang w:eastAsia="it-IT"/>
          <w14:ligatures w14:val="none"/>
        </w:rPr>
        <w:t>481 milioni</w:t>
      </w:r>
      <w:r w:rsidR="000D5718" w:rsidRPr="000D5718">
        <w:rPr>
          <w:rFonts w:ascii="Calibri" w:eastAsia="Times New Roman" w:hAnsi="Calibri" w:cs="Calibri"/>
          <w:kern w:val="0"/>
          <w:sz w:val="24"/>
          <w:szCs w:val="24"/>
          <w:lang w:eastAsia="it-IT"/>
          <w14:ligatures w14:val="none"/>
        </w:rPr>
        <w:t xml:space="preserve">, in crescita del </w:t>
      </w:r>
      <w:r w:rsidR="000D5718" w:rsidRPr="000D5718">
        <w:rPr>
          <w:rFonts w:ascii="Calibri" w:eastAsia="Times New Roman" w:hAnsi="Calibri" w:cs="Calibri"/>
          <w:b/>
          <w:bCs/>
          <w:kern w:val="0"/>
          <w:sz w:val="24"/>
          <w:szCs w:val="24"/>
          <w:lang w:eastAsia="it-IT"/>
          <w14:ligatures w14:val="none"/>
        </w:rPr>
        <w:t>+3,3%</w:t>
      </w:r>
      <w:r w:rsidR="000D5718" w:rsidRPr="000D5718">
        <w:rPr>
          <w:rFonts w:ascii="Calibri" w:eastAsia="Times New Roman" w:hAnsi="Calibri" w:cs="Calibri"/>
          <w:kern w:val="0"/>
          <w:sz w:val="24"/>
          <w:szCs w:val="24"/>
          <w:lang w:eastAsia="it-IT"/>
          <w14:ligatures w14:val="none"/>
        </w:rPr>
        <w:t xml:space="preserve"> rispetto al 2024</w:t>
      </w:r>
      <w:r w:rsidR="00D67167">
        <w:rPr>
          <w:rFonts w:ascii="Calibri" w:eastAsia="Times New Roman" w:hAnsi="Calibri" w:cs="Calibri"/>
          <w:kern w:val="0"/>
          <w:sz w:val="24"/>
          <w:szCs w:val="24"/>
          <w:lang w:eastAsia="it-IT"/>
          <w14:ligatures w14:val="none"/>
        </w:rPr>
        <w:t xml:space="preserve">, </w:t>
      </w:r>
      <w:r w:rsidR="000D5718" w:rsidRPr="000D5718">
        <w:rPr>
          <w:rFonts w:ascii="Calibri" w:eastAsia="Times New Roman" w:hAnsi="Calibri" w:cs="Calibri"/>
          <w:kern w:val="0"/>
          <w:sz w:val="24"/>
          <w:szCs w:val="24"/>
          <w:lang w:eastAsia="it-IT"/>
          <w14:ligatures w14:val="none"/>
        </w:rPr>
        <w:t>spinte soprattutto dalla componente straniera, che da sola potrebbe generare oltre 265 milioni di pernottamenti (+4,3% / +5,1%).</w:t>
      </w:r>
    </w:p>
    <w:p w14:paraId="2C6B479F" w14:textId="77777777" w:rsidR="000D5718" w:rsidRPr="000D5718" w:rsidRDefault="000D5718" w:rsidP="000D5718">
      <w:pPr>
        <w:jc w:val="both"/>
        <w:rPr>
          <w:rFonts w:ascii="Calibri" w:eastAsia="Times New Roman" w:hAnsi="Calibri" w:cs="Calibri"/>
          <w:b/>
          <w:bCs/>
          <w:kern w:val="0"/>
          <w:sz w:val="24"/>
          <w:szCs w:val="24"/>
          <w:lang w:eastAsia="it-IT"/>
          <w14:ligatures w14:val="none"/>
        </w:rPr>
      </w:pPr>
      <w:r w:rsidRPr="000D5718">
        <w:rPr>
          <w:rFonts w:ascii="Calibri" w:eastAsia="Times New Roman" w:hAnsi="Calibri" w:cs="Calibri"/>
          <w:b/>
          <w:bCs/>
          <w:kern w:val="0"/>
          <w:sz w:val="24"/>
          <w:szCs w:val="24"/>
          <w:lang w:eastAsia="it-IT"/>
          <w14:ligatures w14:val="none"/>
        </w:rPr>
        <w:t>FOCUS ITALIA</w:t>
      </w:r>
    </w:p>
    <w:p w14:paraId="2AA76199" w14:textId="77777777"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I dati provvisori Istat per il secondo trimestre 2025 confermano l’andamento positivo: le </w:t>
      </w:r>
      <w:r w:rsidRPr="000D5718">
        <w:rPr>
          <w:rFonts w:ascii="Calibri" w:eastAsia="Times New Roman" w:hAnsi="Calibri" w:cs="Calibri"/>
          <w:b/>
          <w:bCs/>
          <w:kern w:val="0"/>
          <w:sz w:val="24"/>
          <w:szCs w:val="24"/>
          <w:lang w:eastAsia="it-IT"/>
          <w14:ligatures w14:val="none"/>
        </w:rPr>
        <w:t>presenze</w:t>
      </w:r>
      <w:r w:rsidRPr="000D5718">
        <w:rPr>
          <w:rFonts w:ascii="Calibri" w:eastAsia="Times New Roman" w:hAnsi="Calibri" w:cs="Calibri"/>
          <w:kern w:val="0"/>
          <w:sz w:val="24"/>
          <w:szCs w:val="24"/>
          <w:lang w:eastAsia="it-IT"/>
          <w14:ligatures w14:val="none"/>
        </w:rPr>
        <w:t xml:space="preserve"> negli esercizi ricettivi sono cresciute del </w:t>
      </w:r>
      <w:r w:rsidRPr="000D5718">
        <w:rPr>
          <w:rFonts w:ascii="Calibri" w:eastAsia="Times New Roman" w:hAnsi="Calibri" w:cs="Calibri"/>
          <w:b/>
          <w:bCs/>
          <w:kern w:val="0"/>
          <w:sz w:val="24"/>
          <w:szCs w:val="24"/>
          <w:lang w:eastAsia="it-IT"/>
          <w14:ligatures w14:val="none"/>
        </w:rPr>
        <w:t>+4,7%</w:t>
      </w:r>
      <w:r w:rsidRPr="000D5718">
        <w:rPr>
          <w:rFonts w:ascii="Calibri" w:eastAsia="Times New Roman" w:hAnsi="Calibri" w:cs="Calibri"/>
          <w:kern w:val="0"/>
          <w:sz w:val="24"/>
          <w:szCs w:val="24"/>
          <w:lang w:eastAsia="it-IT"/>
          <w14:ligatures w14:val="none"/>
        </w:rPr>
        <w:t xml:space="preserve">, mentre gli </w:t>
      </w:r>
      <w:r w:rsidRPr="000D5718">
        <w:rPr>
          <w:rFonts w:ascii="Calibri" w:eastAsia="Times New Roman" w:hAnsi="Calibri" w:cs="Calibri"/>
          <w:b/>
          <w:bCs/>
          <w:kern w:val="0"/>
          <w:sz w:val="24"/>
          <w:szCs w:val="24"/>
          <w:lang w:eastAsia="it-IT"/>
          <w14:ligatures w14:val="none"/>
        </w:rPr>
        <w:t>arrivi</w:t>
      </w:r>
      <w:r w:rsidRPr="000D5718">
        <w:rPr>
          <w:rFonts w:ascii="Calibri" w:eastAsia="Times New Roman" w:hAnsi="Calibri" w:cs="Calibri"/>
          <w:kern w:val="0"/>
          <w:sz w:val="24"/>
          <w:szCs w:val="24"/>
          <w:lang w:eastAsia="it-IT"/>
          <w14:ligatures w14:val="none"/>
        </w:rPr>
        <w:t xml:space="preserve"> segnano un +1,1% rispetto allo stesso periodo del 2024. Bene sia i turisti italiani (+3,0%), sia soprattutto gli stranieri (+5,9%), che rappresentano oltre il 60% delle presenze complessive.</w:t>
      </w:r>
    </w:p>
    <w:p w14:paraId="72580551" w14:textId="527C4E1B"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L’analisi per tipologia di destinazione evidenzia performance particolarmente brillanti per i </w:t>
      </w:r>
      <w:r w:rsidRPr="000D5718">
        <w:rPr>
          <w:rFonts w:ascii="Calibri" w:eastAsia="Times New Roman" w:hAnsi="Calibri" w:cs="Calibri"/>
          <w:b/>
          <w:bCs/>
          <w:kern w:val="0"/>
          <w:sz w:val="24"/>
          <w:szCs w:val="24"/>
          <w:lang w:eastAsia="it-IT"/>
          <w14:ligatures w14:val="none"/>
        </w:rPr>
        <w:t>comuni montani</w:t>
      </w:r>
      <w:r w:rsidRPr="000D5718">
        <w:rPr>
          <w:rFonts w:ascii="Calibri" w:eastAsia="Times New Roman" w:hAnsi="Calibri" w:cs="Calibri"/>
          <w:kern w:val="0"/>
          <w:sz w:val="24"/>
          <w:szCs w:val="24"/>
          <w:lang w:eastAsia="it-IT"/>
          <w14:ligatures w14:val="none"/>
        </w:rPr>
        <w:t xml:space="preserve"> (+12%), stabili le località balneari (+0,7%)</w:t>
      </w:r>
      <w:r w:rsidR="00E41EF0">
        <w:rPr>
          <w:rFonts w:ascii="Calibri" w:eastAsia="Times New Roman" w:hAnsi="Calibri" w:cs="Calibri"/>
          <w:kern w:val="0"/>
          <w:sz w:val="24"/>
          <w:szCs w:val="24"/>
          <w:lang w:eastAsia="it-IT"/>
          <w14:ligatures w14:val="none"/>
        </w:rPr>
        <w:t xml:space="preserve">, </w:t>
      </w:r>
      <w:r w:rsidRPr="000D5718">
        <w:rPr>
          <w:rFonts w:ascii="Calibri" w:eastAsia="Times New Roman" w:hAnsi="Calibri" w:cs="Calibri"/>
          <w:kern w:val="0"/>
          <w:sz w:val="24"/>
          <w:szCs w:val="24"/>
          <w:lang w:eastAsia="it-IT"/>
          <w14:ligatures w14:val="none"/>
        </w:rPr>
        <w:t xml:space="preserve">con ottimi risultati in Riviera Romagnola, Veneto e Friuli-Venezia Giulia – e città d’arte in crescita, con </w:t>
      </w:r>
      <w:r w:rsidRPr="000D5718">
        <w:rPr>
          <w:rFonts w:ascii="Calibri" w:eastAsia="Times New Roman" w:hAnsi="Calibri" w:cs="Calibri"/>
          <w:b/>
          <w:bCs/>
          <w:kern w:val="0"/>
          <w:sz w:val="24"/>
          <w:szCs w:val="24"/>
          <w:lang w:eastAsia="it-IT"/>
          <w14:ligatures w14:val="none"/>
        </w:rPr>
        <w:t>Milano, Firenze e Bologna</w:t>
      </w:r>
      <w:r w:rsidRPr="000D5718">
        <w:rPr>
          <w:rFonts w:ascii="Calibri" w:eastAsia="Times New Roman" w:hAnsi="Calibri" w:cs="Calibri"/>
          <w:kern w:val="0"/>
          <w:sz w:val="24"/>
          <w:szCs w:val="24"/>
          <w:lang w:eastAsia="it-IT"/>
          <w14:ligatures w14:val="none"/>
        </w:rPr>
        <w:t xml:space="preserve"> tutte oltre l’+8%. In controtendenza Venezia, che registra un calo del 6,1%.</w:t>
      </w:r>
    </w:p>
    <w:p w14:paraId="2C14B883" w14:textId="6BEC1504"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Secondo Assoturismo-CST, la stagione estiva ha chiuso con </w:t>
      </w:r>
      <w:r w:rsidRPr="000D5718">
        <w:rPr>
          <w:rFonts w:ascii="Calibri" w:eastAsia="Times New Roman" w:hAnsi="Calibri" w:cs="Calibri"/>
          <w:b/>
          <w:bCs/>
          <w:kern w:val="0"/>
          <w:sz w:val="24"/>
          <w:szCs w:val="24"/>
          <w:lang w:eastAsia="it-IT"/>
          <w14:ligatures w14:val="none"/>
        </w:rPr>
        <w:t>oltre 215 milioni di pernottamenti</w:t>
      </w:r>
      <w:r w:rsidRPr="000D5718">
        <w:rPr>
          <w:rFonts w:ascii="Calibri" w:eastAsia="Times New Roman" w:hAnsi="Calibri" w:cs="Calibri"/>
          <w:kern w:val="0"/>
          <w:sz w:val="24"/>
          <w:szCs w:val="24"/>
          <w:lang w:eastAsia="it-IT"/>
          <w14:ligatures w14:val="none"/>
        </w:rPr>
        <w:t>, un lieve incremento (+0,2%) sul 2024, grazie soprattutto ai flussi internazionali (+2,8%) che hanno compensato la flessione degli italiani (-2,5%). In crescita le mete di campagna/collina (+5,5%), montagna (+5,2%) e laghi (+3,6%), mentre il balneare segna -1,2%.</w:t>
      </w:r>
    </w:p>
    <w:p w14:paraId="31F733E3" w14:textId="77777777" w:rsidR="000D5718" w:rsidRPr="000D5718" w:rsidRDefault="000D5718" w:rsidP="000D5718">
      <w:pPr>
        <w:jc w:val="both"/>
        <w:rPr>
          <w:rFonts w:ascii="Calibri" w:eastAsia="Times New Roman" w:hAnsi="Calibri" w:cs="Calibri"/>
          <w:b/>
          <w:bCs/>
          <w:kern w:val="0"/>
          <w:sz w:val="24"/>
          <w:szCs w:val="24"/>
          <w:lang w:eastAsia="it-IT"/>
          <w14:ligatures w14:val="none"/>
        </w:rPr>
      </w:pPr>
      <w:r w:rsidRPr="000D5718">
        <w:rPr>
          <w:rFonts w:ascii="Calibri" w:eastAsia="Times New Roman" w:hAnsi="Calibri" w:cs="Calibri"/>
          <w:b/>
          <w:bCs/>
          <w:kern w:val="0"/>
          <w:sz w:val="24"/>
          <w:szCs w:val="24"/>
          <w:lang w:eastAsia="it-IT"/>
          <w14:ligatures w14:val="none"/>
        </w:rPr>
        <w:t>HOTELLERIE, RISTORAZIONE E IMPATTO ECONOMICO</w:t>
      </w:r>
    </w:p>
    <w:p w14:paraId="738E4B13" w14:textId="4E1C9E1B"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Il 2025 si conferma un anno di slancio per l’intera filiera turistica, con </w:t>
      </w:r>
      <w:r w:rsidRPr="000D5718">
        <w:rPr>
          <w:rFonts w:ascii="Calibri" w:eastAsia="Times New Roman" w:hAnsi="Calibri" w:cs="Calibri"/>
          <w:b/>
          <w:bCs/>
          <w:kern w:val="0"/>
          <w:sz w:val="24"/>
          <w:szCs w:val="24"/>
          <w:lang w:eastAsia="it-IT"/>
          <w14:ligatures w14:val="none"/>
        </w:rPr>
        <w:t>quasi 477 milioni di presenze previste</w:t>
      </w:r>
      <w:r w:rsidRPr="000D5718">
        <w:rPr>
          <w:rFonts w:ascii="Calibri" w:eastAsia="Times New Roman" w:hAnsi="Calibri" w:cs="Calibri"/>
          <w:kern w:val="0"/>
          <w:sz w:val="24"/>
          <w:szCs w:val="24"/>
          <w:lang w:eastAsia="it-IT"/>
          <w14:ligatures w14:val="none"/>
        </w:rPr>
        <w:t xml:space="preserve"> (+2,3% sul 2024), oltre 106 miliardi di euro di valore aggiunto e un comparto Alberghi e Ristoranti che cresce dell’1,6% sull’anno scorso e del 25,6% rispetto al 2019</w:t>
      </w:r>
      <w:r w:rsidR="00B32D81">
        <w:rPr>
          <w:rFonts w:ascii="Calibri" w:eastAsia="Times New Roman" w:hAnsi="Calibri" w:cs="Calibri"/>
          <w:kern w:val="0"/>
          <w:sz w:val="24"/>
          <w:szCs w:val="24"/>
          <w:lang w:eastAsia="it-IT"/>
          <w14:ligatures w14:val="none"/>
        </w:rPr>
        <w:t xml:space="preserve"> </w:t>
      </w:r>
      <w:r w:rsidR="00B32D81" w:rsidRPr="00B32D81">
        <w:rPr>
          <w:rFonts w:ascii="Calibri" w:eastAsia="Times New Roman" w:hAnsi="Calibri" w:cs="Calibri"/>
          <w:i/>
          <w:iCs/>
          <w:kern w:val="0"/>
          <w:sz w:val="24"/>
          <w:szCs w:val="24"/>
          <w:lang w:eastAsia="it-IT"/>
          <w14:ligatures w14:val="none"/>
        </w:rPr>
        <w:t>(SRM – Intesa Sanpaolo, Rapporto “Turismo &amp; territorio” 2025).</w:t>
      </w:r>
    </w:p>
    <w:p w14:paraId="34E32046" w14:textId="348483DD"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Il vero motore di questa espansione è l’</w:t>
      </w:r>
      <w:proofErr w:type="spellStart"/>
      <w:r w:rsidRPr="000D5718">
        <w:rPr>
          <w:rFonts w:ascii="Calibri" w:eastAsia="Times New Roman" w:hAnsi="Calibri" w:cs="Calibri"/>
          <w:kern w:val="0"/>
          <w:sz w:val="24"/>
          <w:szCs w:val="24"/>
          <w:lang w:eastAsia="it-IT"/>
          <w14:ligatures w14:val="none"/>
        </w:rPr>
        <w:t>hotellerie</w:t>
      </w:r>
      <w:proofErr w:type="spellEnd"/>
      <w:r w:rsidRPr="000D5718">
        <w:rPr>
          <w:rFonts w:ascii="Calibri" w:eastAsia="Times New Roman" w:hAnsi="Calibri" w:cs="Calibri"/>
          <w:kern w:val="0"/>
          <w:sz w:val="24"/>
          <w:szCs w:val="24"/>
          <w:lang w:eastAsia="it-IT"/>
          <w14:ligatures w14:val="none"/>
        </w:rPr>
        <w:t>, che sta vivendo una fase di trasformazione</w:t>
      </w:r>
      <w:r w:rsidR="00E41EF0">
        <w:rPr>
          <w:rFonts w:ascii="Calibri" w:eastAsia="Times New Roman" w:hAnsi="Calibri" w:cs="Calibri"/>
          <w:kern w:val="0"/>
          <w:sz w:val="24"/>
          <w:szCs w:val="24"/>
          <w:lang w:eastAsia="it-IT"/>
          <w14:ligatures w14:val="none"/>
        </w:rPr>
        <w:t>:</w:t>
      </w:r>
      <w:r w:rsidRPr="000D5718">
        <w:rPr>
          <w:rFonts w:ascii="Calibri" w:eastAsia="Times New Roman" w:hAnsi="Calibri" w:cs="Calibri"/>
          <w:kern w:val="0"/>
          <w:sz w:val="24"/>
          <w:szCs w:val="24"/>
          <w:lang w:eastAsia="it-IT"/>
          <w14:ligatures w14:val="none"/>
        </w:rPr>
        <w:t xml:space="preserve"> </w:t>
      </w:r>
      <w:r w:rsidRPr="000D5718">
        <w:rPr>
          <w:rFonts w:ascii="Calibri" w:eastAsia="Times New Roman" w:hAnsi="Calibri" w:cs="Calibri"/>
          <w:b/>
          <w:bCs/>
          <w:kern w:val="0"/>
          <w:sz w:val="24"/>
          <w:szCs w:val="24"/>
          <w:lang w:eastAsia="it-IT"/>
          <w14:ligatures w14:val="none"/>
        </w:rPr>
        <w:t xml:space="preserve">il 64% delle imprese </w:t>
      </w:r>
      <w:r w:rsidR="00CD394C">
        <w:rPr>
          <w:rFonts w:ascii="Calibri" w:eastAsia="Times New Roman" w:hAnsi="Calibri" w:cs="Calibri"/>
          <w:b/>
          <w:bCs/>
          <w:kern w:val="0"/>
          <w:sz w:val="24"/>
          <w:szCs w:val="24"/>
          <w:lang w:eastAsia="it-IT"/>
          <w14:ligatures w14:val="none"/>
        </w:rPr>
        <w:t xml:space="preserve">alberghiere </w:t>
      </w:r>
      <w:r w:rsidRPr="000D5718">
        <w:rPr>
          <w:rFonts w:ascii="Calibri" w:eastAsia="Times New Roman" w:hAnsi="Calibri" w:cs="Calibri"/>
          <w:b/>
          <w:bCs/>
          <w:kern w:val="0"/>
          <w:sz w:val="24"/>
          <w:szCs w:val="24"/>
          <w:lang w:eastAsia="it-IT"/>
          <w14:ligatures w14:val="none"/>
        </w:rPr>
        <w:t>ha investito più del 15% del fatturato negli ultimi tre anni</w:t>
      </w:r>
      <w:r w:rsidRPr="000D5718">
        <w:rPr>
          <w:rFonts w:ascii="Calibri" w:eastAsia="Times New Roman" w:hAnsi="Calibri" w:cs="Calibri"/>
          <w:kern w:val="0"/>
          <w:sz w:val="24"/>
          <w:szCs w:val="24"/>
          <w:lang w:eastAsia="it-IT"/>
          <w14:ligatures w14:val="none"/>
        </w:rPr>
        <w:t xml:space="preserve"> e quasi una su due prevede nuovi investimenti nel triennio 2025-2027, puntando su sostenibilità, efficienza energetica, digitalizzazione e qualità dei servizi.</w:t>
      </w:r>
    </w:p>
    <w:p w14:paraId="5330F23A" w14:textId="1DD46F06" w:rsid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Questa evoluzione </w:t>
      </w:r>
      <w:r>
        <w:rPr>
          <w:rFonts w:ascii="Calibri" w:eastAsia="Times New Roman" w:hAnsi="Calibri" w:cs="Calibri"/>
          <w:kern w:val="0"/>
          <w:sz w:val="24"/>
          <w:szCs w:val="24"/>
          <w:lang w:eastAsia="it-IT"/>
          <w14:ligatures w14:val="none"/>
        </w:rPr>
        <w:t>è</w:t>
      </w:r>
      <w:r w:rsidRPr="000D5718">
        <w:rPr>
          <w:rFonts w:ascii="Calibri" w:eastAsia="Times New Roman" w:hAnsi="Calibri" w:cs="Calibri"/>
          <w:kern w:val="0"/>
          <w:sz w:val="24"/>
          <w:szCs w:val="24"/>
          <w:lang w:eastAsia="it-IT"/>
          <w14:ligatures w14:val="none"/>
        </w:rPr>
        <w:t xml:space="preserve"> protagonista a </w:t>
      </w:r>
      <w:r w:rsidRPr="000D5718">
        <w:rPr>
          <w:rFonts w:ascii="Calibri" w:eastAsia="Times New Roman" w:hAnsi="Calibri" w:cs="Calibri"/>
          <w:b/>
          <w:bCs/>
          <w:kern w:val="0"/>
          <w:sz w:val="24"/>
          <w:szCs w:val="24"/>
          <w:lang w:eastAsia="it-IT"/>
          <w14:ligatures w14:val="none"/>
        </w:rPr>
        <w:t>TTG Travel Experience 2025</w:t>
      </w:r>
      <w:r w:rsidRPr="000D5718">
        <w:rPr>
          <w:rFonts w:ascii="Calibri" w:eastAsia="Times New Roman" w:hAnsi="Calibri" w:cs="Calibri"/>
          <w:kern w:val="0"/>
          <w:sz w:val="24"/>
          <w:szCs w:val="24"/>
          <w:lang w:eastAsia="it-IT"/>
          <w14:ligatures w14:val="none"/>
        </w:rPr>
        <w:t>, che dedica un focus speciale alla nuova era dell’</w:t>
      </w:r>
      <w:proofErr w:type="spellStart"/>
      <w:r w:rsidRPr="000D5718">
        <w:rPr>
          <w:rFonts w:ascii="Calibri" w:eastAsia="Times New Roman" w:hAnsi="Calibri" w:cs="Calibri"/>
          <w:kern w:val="0"/>
          <w:sz w:val="24"/>
          <w:szCs w:val="24"/>
          <w:lang w:eastAsia="it-IT"/>
          <w14:ligatures w14:val="none"/>
        </w:rPr>
        <w:t>hospitality</w:t>
      </w:r>
      <w:proofErr w:type="spellEnd"/>
      <w:r w:rsidRPr="000D5718">
        <w:rPr>
          <w:rFonts w:ascii="Calibri" w:eastAsia="Times New Roman" w:hAnsi="Calibri" w:cs="Calibri"/>
          <w:kern w:val="0"/>
          <w:sz w:val="24"/>
          <w:szCs w:val="24"/>
          <w:lang w:eastAsia="it-IT"/>
          <w14:ligatures w14:val="none"/>
        </w:rPr>
        <w:t xml:space="preserve">. In programma un </w:t>
      </w:r>
      <w:r w:rsidRPr="000D5718">
        <w:rPr>
          <w:rFonts w:ascii="Calibri" w:eastAsia="Times New Roman" w:hAnsi="Calibri" w:cs="Calibri"/>
          <w:b/>
          <w:bCs/>
          <w:kern w:val="0"/>
          <w:sz w:val="24"/>
          <w:szCs w:val="24"/>
          <w:lang w:eastAsia="it-IT"/>
          <w14:ligatures w14:val="none"/>
        </w:rPr>
        <w:t>convegno con i giovani albergatori</w:t>
      </w:r>
      <w:r w:rsidRPr="000D5718">
        <w:rPr>
          <w:rFonts w:ascii="Calibri" w:eastAsia="Times New Roman" w:hAnsi="Calibri" w:cs="Calibri"/>
          <w:kern w:val="0"/>
          <w:sz w:val="24"/>
          <w:szCs w:val="24"/>
          <w:lang w:eastAsia="it-IT"/>
          <w14:ligatures w14:val="none"/>
        </w:rPr>
        <w:t xml:space="preserve"> organizzato insieme a Federalberghi e un </w:t>
      </w:r>
      <w:r w:rsidRPr="000D5718">
        <w:rPr>
          <w:rFonts w:ascii="Calibri" w:eastAsia="Times New Roman" w:hAnsi="Calibri" w:cs="Calibri"/>
          <w:b/>
          <w:bCs/>
          <w:kern w:val="0"/>
          <w:sz w:val="24"/>
          <w:szCs w:val="24"/>
          <w:lang w:eastAsia="it-IT"/>
          <w14:ligatures w14:val="none"/>
        </w:rPr>
        <w:t>Tavolo sull’</w:t>
      </w:r>
      <w:proofErr w:type="spellStart"/>
      <w:r w:rsidRPr="000D5718">
        <w:rPr>
          <w:rFonts w:ascii="Calibri" w:eastAsia="Times New Roman" w:hAnsi="Calibri" w:cs="Calibri"/>
          <w:b/>
          <w:bCs/>
          <w:kern w:val="0"/>
          <w:sz w:val="24"/>
          <w:szCs w:val="24"/>
          <w:lang w:eastAsia="it-IT"/>
          <w14:ligatures w14:val="none"/>
        </w:rPr>
        <w:t>albergatoria</w:t>
      </w:r>
      <w:proofErr w:type="spellEnd"/>
      <w:r w:rsidRPr="000D5718">
        <w:rPr>
          <w:rFonts w:ascii="Calibri" w:eastAsia="Times New Roman" w:hAnsi="Calibri" w:cs="Calibri"/>
          <w:kern w:val="0"/>
          <w:sz w:val="24"/>
          <w:szCs w:val="24"/>
          <w:lang w:eastAsia="it-IT"/>
          <w14:ligatures w14:val="none"/>
        </w:rPr>
        <w:t xml:space="preserve"> per discutere sfide e opportunità del comparto. Non mancheranno gli </w:t>
      </w:r>
      <w:r w:rsidRPr="000D5718">
        <w:rPr>
          <w:rFonts w:ascii="Calibri" w:eastAsia="Times New Roman" w:hAnsi="Calibri" w:cs="Calibri"/>
          <w:b/>
          <w:bCs/>
          <w:kern w:val="0"/>
          <w:sz w:val="24"/>
          <w:szCs w:val="24"/>
          <w:lang w:eastAsia="it-IT"/>
          <w14:ligatures w14:val="none"/>
        </w:rPr>
        <w:t>Hotel Talk</w:t>
      </w:r>
      <w:r w:rsidRPr="000D5718">
        <w:rPr>
          <w:rFonts w:ascii="Calibri" w:eastAsia="Times New Roman" w:hAnsi="Calibri" w:cs="Calibri"/>
          <w:kern w:val="0"/>
          <w:sz w:val="24"/>
          <w:szCs w:val="24"/>
          <w:lang w:eastAsia="it-IT"/>
          <w14:ligatures w14:val="none"/>
        </w:rPr>
        <w:t xml:space="preserve"> con i principali player e un contest per le startup di settore con </w:t>
      </w:r>
      <w:r w:rsidRPr="000D5718">
        <w:rPr>
          <w:rFonts w:ascii="Calibri" w:eastAsia="Times New Roman" w:hAnsi="Calibri" w:cs="Calibri"/>
          <w:kern w:val="0"/>
          <w:sz w:val="24"/>
          <w:szCs w:val="24"/>
          <w:lang w:eastAsia="it-IT"/>
          <w14:ligatures w14:val="none"/>
        </w:rPr>
        <w:lastRenderedPageBreak/>
        <w:t xml:space="preserve">premiazione finale. Nella </w:t>
      </w:r>
      <w:proofErr w:type="spellStart"/>
      <w:r w:rsidRPr="000D5718">
        <w:rPr>
          <w:rFonts w:ascii="Calibri" w:eastAsia="Times New Roman" w:hAnsi="Calibri" w:cs="Calibri"/>
          <w:b/>
          <w:bCs/>
          <w:kern w:val="0"/>
          <w:sz w:val="24"/>
          <w:szCs w:val="24"/>
          <w:lang w:eastAsia="it-IT"/>
          <w14:ligatures w14:val="none"/>
        </w:rPr>
        <w:t>Main</w:t>
      </w:r>
      <w:proofErr w:type="spellEnd"/>
      <w:r w:rsidRPr="000D5718">
        <w:rPr>
          <w:rFonts w:ascii="Calibri" w:eastAsia="Times New Roman" w:hAnsi="Calibri" w:cs="Calibri"/>
          <w:b/>
          <w:bCs/>
          <w:kern w:val="0"/>
          <w:sz w:val="24"/>
          <w:szCs w:val="24"/>
          <w:lang w:eastAsia="it-IT"/>
          <w14:ligatures w14:val="none"/>
        </w:rPr>
        <w:t xml:space="preserve"> Arena</w:t>
      </w:r>
      <w:r w:rsidRPr="000D5718">
        <w:rPr>
          <w:rFonts w:ascii="Calibri" w:eastAsia="Times New Roman" w:hAnsi="Calibri" w:cs="Calibri"/>
          <w:kern w:val="0"/>
          <w:sz w:val="24"/>
          <w:szCs w:val="24"/>
          <w:lang w:eastAsia="it-IT"/>
          <w14:ligatures w14:val="none"/>
        </w:rPr>
        <w:t xml:space="preserve"> spazio anche alla ristorazione, con l’anteprima del Rapporto Fipe e un dibattito sulle nuove opportunità di business per le destinazioni turistiche.</w:t>
      </w:r>
    </w:p>
    <w:p w14:paraId="02E4B2E5" w14:textId="77777777" w:rsidR="00B618F4" w:rsidRPr="00B618F4" w:rsidRDefault="00B618F4" w:rsidP="00B618F4">
      <w:pPr>
        <w:jc w:val="both"/>
        <w:rPr>
          <w:rFonts w:ascii="Calibri" w:eastAsia="Times New Roman" w:hAnsi="Calibri" w:cs="Calibri"/>
          <w:b/>
          <w:bCs/>
          <w:kern w:val="0"/>
          <w:sz w:val="24"/>
          <w:szCs w:val="24"/>
          <w:lang w:eastAsia="it-IT"/>
          <w14:ligatures w14:val="none"/>
        </w:rPr>
      </w:pPr>
      <w:r w:rsidRPr="00B618F4">
        <w:rPr>
          <w:rFonts w:ascii="Calibri" w:eastAsia="Times New Roman" w:hAnsi="Calibri" w:cs="Calibri"/>
          <w:b/>
          <w:bCs/>
          <w:kern w:val="0"/>
          <w:sz w:val="24"/>
          <w:szCs w:val="24"/>
          <w:lang w:eastAsia="it-IT"/>
          <w14:ligatures w14:val="none"/>
        </w:rPr>
        <w:t>AFFITTI BREVI ED EXTRALBERGHIERO</w:t>
      </w:r>
    </w:p>
    <w:p w14:paraId="1AAFA8FA" w14:textId="40495CA8" w:rsidR="00B618F4" w:rsidRPr="00B618F4" w:rsidRDefault="00B618F4" w:rsidP="00B618F4">
      <w:pPr>
        <w:jc w:val="both"/>
        <w:rPr>
          <w:rFonts w:ascii="Calibri" w:eastAsia="Times New Roman" w:hAnsi="Calibri" w:cs="Calibri"/>
          <w:kern w:val="0"/>
          <w:sz w:val="24"/>
          <w:szCs w:val="24"/>
          <w:lang w:eastAsia="it-IT"/>
          <w14:ligatures w14:val="none"/>
        </w:rPr>
      </w:pPr>
      <w:r w:rsidRPr="00B618F4">
        <w:rPr>
          <w:rFonts w:ascii="Calibri" w:eastAsia="Times New Roman" w:hAnsi="Calibri" w:cs="Calibri"/>
          <w:kern w:val="0"/>
          <w:sz w:val="24"/>
          <w:szCs w:val="24"/>
          <w:lang w:eastAsia="it-IT"/>
          <w14:ligatures w14:val="none"/>
        </w:rPr>
        <w:t>Dopo anni di crescita sostenuta, l’estate 2025 segna una frenata per gli affitti brevi. L’</w:t>
      </w:r>
      <w:r w:rsidRPr="00B618F4">
        <w:rPr>
          <w:rFonts w:ascii="Calibri" w:eastAsia="Times New Roman" w:hAnsi="Calibri" w:cs="Calibri"/>
          <w:b/>
          <w:bCs/>
          <w:kern w:val="0"/>
          <w:sz w:val="24"/>
          <w:szCs w:val="24"/>
          <w:lang w:eastAsia="it-IT"/>
          <w14:ligatures w14:val="none"/>
        </w:rPr>
        <w:t>occupazione media</w:t>
      </w:r>
      <w:r w:rsidRPr="00B618F4">
        <w:rPr>
          <w:rFonts w:ascii="Calibri" w:eastAsia="Times New Roman" w:hAnsi="Calibri" w:cs="Calibri"/>
          <w:kern w:val="0"/>
          <w:sz w:val="24"/>
          <w:szCs w:val="24"/>
          <w:lang w:eastAsia="it-IT"/>
          <w14:ligatures w14:val="none"/>
        </w:rPr>
        <w:t xml:space="preserve"> delle locazioni turistiche è scesa al 64%, contro il 65% delle due stagioni precedenti e il 66,3% del 2022 </w:t>
      </w:r>
      <w:r w:rsidRPr="00B618F4">
        <w:rPr>
          <w:rFonts w:ascii="Calibri" w:eastAsia="Times New Roman" w:hAnsi="Calibri" w:cs="Calibri"/>
          <w:i/>
          <w:iCs/>
          <w:kern w:val="0"/>
          <w:sz w:val="24"/>
          <w:szCs w:val="24"/>
          <w:lang w:eastAsia="it-IT"/>
          <w14:ligatures w14:val="none"/>
        </w:rPr>
        <w:t>(</w:t>
      </w:r>
      <w:proofErr w:type="spellStart"/>
      <w:r w:rsidRPr="00B618F4">
        <w:rPr>
          <w:rFonts w:ascii="Calibri" w:eastAsia="Times New Roman" w:hAnsi="Calibri" w:cs="Calibri"/>
          <w:i/>
          <w:iCs/>
          <w:kern w:val="0"/>
          <w:sz w:val="24"/>
          <w:szCs w:val="24"/>
          <w:lang w:eastAsia="it-IT"/>
          <w14:ligatures w14:val="none"/>
        </w:rPr>
        <w:t>Aigab</w:t>
      </w:r>
      <w:proofErr w:type="spellEnd"/>
      <w:r w:rsidRPr="00B618F4">
        <w:rPr>
          <w:rFonts w:ascii="Calibri" w:eastAsia="Times New Roman" w:hAnsi="Calibri" w:cs="Calibri"/>
          <w:i/>
          <w:iCs/>
          <w:kern w:val="0"/>
          <w:sz w:val="24"/>
          <w:szCs w:val="24"/>
          <w:lang w:eastAsia="it-IT"/>
          <w14:ligatures w14:val="none"/>
        </w:rPr>
        <w:t>, estate 2025).</w:t>
      </w:r>
    </w:p>
    <w:p w14:paraId="5FF2319F" w14:textId="545B7BC5" w:rsidR="00B618F4" w:rsidRPr="00B618F4" w:rsidRDefault="00B618F4" w:rsidP="00B618F4">
      <w:pPr>
        <w:jc w:val="both"/>
        <w:rPr>
          <w:rFonts w:ascii="Calibri" w:eastAsia="Times New Roman" w:hAnsi="Calibri" w:cs="Calibri"/>
          <w:kern w:val="0"/>
          <w:sz w:val="24"/>
          <w:szCs w:val="24"/>
          <w:lang w:eastAsia="it-IT"/>
          <w14:ligatures w14:val="none"/>
        </w:rPr>
      </w:pPr>
      <w:r w:rsidRPr="00B618F4">
        <w:rPr>
          <w:rFonts w:ascii="Calibri" w:eastAsia="Times New Roman" w:hAnsi="Calibri" w:cs="Calibri"/>
          <w:kern w:val="0"/>
          <w:sz w:val="24"/>
          <w:szCs w:val="24"/>
          <w:lang w:eastAsia="it-IT"/>
          <w14:ligatures w14:val="none"/>
        </w:rPr>
        <w:t xml:space="preserve">Secondo </w:t>
      </w:r>
      <w:proofErr w:type="spellStart"/>
      <w:r w:rsidRPr="00B618F4">
        <w:rPr>
          <w:rFonts w:ascii="Calibri" w:eastAsia="Times New Roman" w:hAnsi="Calibri" w:cs="Calibri"/>
          <w:kern w:val="0"/>
          <w:sz w:val="24"/>
          <w:szCs w:val="24"/>
          <w:lang w:eastAsia="it-IT"/>
          <w14:ligatures w14:val="none"/>
        </w:rPr>
        <w:t>Aigab</w:t>
      </w:r>
      <w:proofErr w:type="spellEnd"/>
      <w:r w:rsidRPr="00B618F4">
        <w:rPr>
          <w:rFonts w:ascii="Calibri" w:eastAsia="Times New Roman" w:hAnsi="Calibri" w:cs="Calibri"/>
          <w:kern w:val="0"/>
          <w:sz w:val="24"/>
          <w:szCs w:val="24"/>
          <w:lang w:eastAsia="it-IT"/>
          <w14:ligatures w14:val="none"/>
        </w:rPr>
        <w:t>, a pesare non è solo una domanda meno vivace ma anche un’offerta più ridotta: molti proprietari preferiscono utilizzare le seconde case per sé, soprattutto nei weekend, mantenendo gli annunci online ma riducendo le disponibilità effettive. Gli annunci attivi sono scesi da oltre 520mila a circa 508mila (-2,3%).</w:t>
      </w:r>
      <w:r w:rsidR="00043210">
        <w:rPr>
          <w:rFonts w:ascii="Calibri" w:eastAsia="Times New Roman" w:hAnsi="Calibri" w:cs="Calibri"/>
          <w:kern w:val="0"/>
          <w:sz w:val="24"/>
          <w:szCs w:val="24"/>
          <w:lang w:eastAsia="it-IT"/>
          <w14:ligatures w14:val="none"/>
        </w:rPr>
        <w:t xml:space="preserve"> La </w:t>
      </w:r>
      <w:r w:rsidR="00043210" w:rsidRPr="00043210">
        <w:rPr>
          <w:rFonts w:ascii="Calibri" w:eastAsia="Times New Roman" w:hAnsi="Calibri" w:cs="Calibri"/>
          <w:kern w:val="0"/>
          <w:sz w:val="24"/>
          <w:szCs w:val="24"/>
          <w:lang w:eastAsia="it-IT"/>
          <w14:ligatures w14:val="none"/>
        </w:rPr>
        <w:t>Puglia</w:t>
      </w:r>
      <w:r w:rsidR="00043210">
        <w:rPr>
          <w:rFonts w:ascii="Calibri" w:eastAsia="Times New Roman" w:hAnsi="Calibri" w:cs="Calibri"/>
          <w:kern w:val="0"/>
          <w:sz w:val="24"/>
          <w:szCs w:val="24"/>
          <w:lang w:eastAsia="it-IT"/>
          <w14:ligatures w14:val="none"/>
        </w:rPr>
        <w:t xml:space="preserve"> è</w:t>
      </w:r>
      <w:r w:rsidR="00043210" w:rsidRPr="00043210">
        <w:rPr>
          <w:rFonts w:ascii="Calibri" w:eastAsia="Times New Roman" w:hAnsi="Calibri" w:cs="Calibri"/>
          <w:kern w:val="0"/>
          <w:sz w:val="24"/>
          <w:szCs w:val="24"/>
          <w:lang w:eastAsia="it-IT"/>
          <w14:ligatures w14:val="none"/>
        </w:rPr>
        <w:t xml:space="preserve"> in crescita ma con prezzi più bassi, </w:t>
      </w:r>
      <w:r w:rsidR="00043210">
        <w:rPr>
          <w:rFonts w:ascii="Calibri" w:eastAsia="Times New Roman" w:hAnsi="Calibri" w:cs="Calibri"/>
          <w:kern w:val="0"/>
          <w:sz w:val="24"/>
          <w:szCs w:val="24"/>
          <w:lang w:eastAsia="it-IT"/>
          <w14:ligatures w14:val="none"/>
        </w:rPr>
        <w:t xml:space="preserve">la </w:t>
      </w:r>
      <w:r w:rsidR="00043210" w:rsidRPr="00043210">
        <w:rPr>
          <w:rFonts w:ascii="Calibri" w:eastAsia="Times New Roman" w:hAnsi="Calibri" w:cs="Calibri"/>
          <w:kern w:val="0"/>
          <w:sz w:val="24"/>
          <w:szCs w:val="24"/>
          <w:lang w:eastAsia="it-IT"/>
          <w14:ligatures w14:val="none"/>
        </w:rPr>
        <w:t xml:space="preserve">Sardegna </w:t>
      </w:r>
      <w:r w:rsidR="00043210">
        <w:rPr>
          <w:rFonts w:ascii="Calibri" w:eastAsia="Times New Roman" w:hAnsi="Calibri" w:cs="Calibri"/>
          <w:kern w:val="0"/>
          <w:sz w:val="24"/>
          <w:szCs w:val="24"/>
          <w:lang w:eastAsia="it-IT"/>
          <w14:ligatures w14:val="none"/>
        </w:rPr>
        <w:t xml:space="preserve">è </w:t>
      </w:r>
      <w:r w:rsidR="00043210" w:rsidRPr="00043210">
        <w:rPr>
          <w:rFonts w:ascii="Calibri" w:eastAsia="Times New Roman" w:hAnsi="Calibri" w:cs="Calibri"/>
          <w:kern w:val="0"/>
          <w:sz w:val="24"/>
          <w:szCs w:val="24"/>
          <w:lang w:eastAsia="it-IT"/>
          <w14:ligatures w14:val="none"/>
        </w:rPr>
        <w:t xml:space="preserve">stabile, </w:t>
      </w:r>
      <w:r w:rsidR="00043210">
        <w:rPr>
          <w:rFonts w:ascii="Calibri" w:eastAsia="Times New Roman" w:hAnsi="Calibri" w:cs="Calibri"/>
          <w:kern w:val="0"/>
          <w:sz w:val="24"/>
          <w:szCs w:val="24"/>
          <w:lang w:eastAsia="it-IT"/>
          <w14:ligatures w14:val="none"/>
        </w:rPr>
        <w:t xml:space="preserve">mentre sono stati registrati </w:t>
      </w:r>
      <w:r w:rsidR="00043210" w:rsidRPr="00043210">
        <w:rPr>
          <w:rFonts w:ascii="Calibri" w:eastAsia="Times New Roman" w:hAnsi="Calibri" w:cs="Calibri"/>
          <w:kern w:val="0"/>
          <w:sz w:val="24"/>
          <w:szCs w:val="24"/>
          <w:lang w:eastAsia="it-IT"/>
          <w14:ligatures w14:val="none"/>
        </w:rPr>
        <w:t>cali in Liguria e Campania. I viaggiatori accorciano i soggiorni, scelgono la bassa stagione o puntano su mete estere come Grecia e Spagna.</w:t>
      </w:r>
    </w:p>
    <w:p w14:paraId="17C98D0A" w14:textId="77777777" w:rsidR="000D5718" w:rsidRPr="000D5718" w:rsidRDefault="000D5718" w:rsidP="000D5718">
      <w:pPr>
        <w:jc w:val="both"/>
        <w:rPr>
          <w:rFonts w:ascii="Calibri" w:eastAsia="Times New Roman" w:hAnsi="Calibri" w:cs="Calibri"/>
          <w:b/>
          <w:bCs/>
          <w:kern w:val="0"/>
          <w:sz w:val="24"/>
          <w:szCs w:val="24"/>
          <w:lang w:eastAsia="it-IT"/>
          <w14:ligatures w14:val="none"/>
        </w:rPr>
      </w:pPr>
      <w:r w:rsidRPr="000D5718">
        <w:rPr>
          <w:rFonts w:ascii="Calibri" w:eastAsia="Times New Roman" w:hAnsi="Calibri" w:cs="Calibri"/>
          <w:b/>
          <w:bCs/>
          <w:kern w:val="0"/>
          <w:sz w:val="24"/>
          <w:szCs w:val="24"/>
          <w:lang w:eastAsia="it-IT"/>
          <w14:ligatures w14:val="none"/>
        </w:rPr>
        <w:t>CAMBIAMENTO DELLE ABITUDINI</w:t>
      </w:r>
    </w:p>
    <w:p w14:paraId="39B98D9C" w14:textId="740449C6"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Gli operatori segnalano un cambiamento nelle modalità di fruizione del viaggio: si accorciano le permanenze medie, cresce la propensione a distribuire le ferie lungo tutto l’anno e aumenta l’attenzione per i periodi di bassa stagione, che diventano occasioni privilegiate per scoprire destinazioni meno affollate.</w:t>
      </w:r>
    </w:p>
    <w:p w14:paraId="1E7A6D72" w14:textId="77777777" w:rsidR="000D5718" w:rsidRPr="000D5718" w:rsidRDefault="000D5718" w:rsidP="000D5718">
      <w:pPr>
        <w:jc w:val="both"/>
        <w:rPr>
          <w:rFonts w:ascii="Calibri" w:eastAsia="Times New Roman" w:hAnsi="Calibri" w:cs="Calibri"/>
          <w:b/>
          <w:bCs/>
          <w:kern w:val="0"/>
          <w:sz w:val="24"/>
          <w:szCs w:val="24"/>
          <w:lang w:eastAsia="it-IT"/>
          <w14:ligatures w14:val="none"/>
        </w:rPr>
      </w:pPr>
      <w:r w:rsidRPr="000D5718">
        <w:rPr>
          <w:rFonts w:ascii="Calibri" w:eastAsia="Times New Roman" w:hAnsi="Calibri" w:cs="Calibri"/>
          <w:b/>
          <w:bCs/>
          <w:kern w:val="0"/>
          <w:sz w:val="24"/>
          <w:szCs w:val="24"/>
          <w:lang w:eastAsia="it-IT"/>
          <w14:ligatures w14:val="none"/>
        </w:rPr>
        <w:t>TREND DI VIAGGIO 2025</w:t>
      </w:r>
    </w:p>
    <w:p w14:paraId="59C564BC" w14:textId="77777777"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Il viaggiatore contemporaneo è sempre più un </w:t>
      </w:r>
      <w:r w:rsidRPr="000D5718">
        <w:rPr>
          <w:rFonts w:ascii="Calibri" w:eastAsia="Times New Roman" w:hAnsi="Calibri" w:cs="Calibri"/>
          <w:b/>
          <w:bCs/>
          <w:kern w:val="0"/>
          <w:sz w:val="24"/>
          <w:szCs w:val="24"/>
          <w:lang w:eastAsia="it-IT"/>
          <w14:ligatures w14:val="none"/>
        </w:rPr>
        <w:t>“</w:t>
      </w:r>
      <w:proofErr w:type="spellStart"/>
      <w:r w:rsidRPr="000D5718">
        <w:rPr>
          <w:rFonts w:ascii="Calibri" w:eastAsia="Times New Roman" w:hAnsi="Calibri" w:cs="Calibri"/>
          <w:b/>
          <w:bCs/>
          <w:kern w:val="0"/>
          <w:sz w:val="24"/>
          <w:szCs w:val="24"/>
          <w:lang w:eastAsia="it-IT"/>
          <w14:ligatures w14:val="none"/>
        </w:rPr>
        <w:t>Everything</w:t>
      </w:r>
      <w:proofErr w:type="spellEnd"/>
      <w:r w:rsidRPr="000D5718">
        <w:rPr>
          <w:rFonts w:ascii="Calibri" w:eastAsia="Times New Roman" w:hAnsi="Calibri" w:cs="Calibri"/>
          <w:b/>
          <w:bCs/>
          <w:kern w:val="0"/>
          <w:sz w:val="24"/>
          <w:szCs w:val="24"/>
          <w:lang w:eastAsia="it-IT"/>
          <w14:ligatures w14:val="none"/>
        </w:rPr>
        <w:t xml:space="preserve"> Traveller”</w:t>
      </w:r>
      <w:r w:rsidRPr="000D5718">
        <w:rPr>
          <w:rFonts w:ascii="Calibri" w:eastAsia="Times New Roman" w:hAnsi="Calibri" w:cs="Calibri"/>
          <w:kern w:val="0"/>
          <w:sz w:val="24"/>
          <w:szCs w:val="24"/>
          <w:lang w:eastAsia="it-IT"/>
          <w14:ligatures w14:val="none"/>
        </w:rPr>
        <w:t xml:space="preserve">, capace di combinare mete tradizionali e trendy, alternare relax e divertimento e affidarsi alle community online più che ai travel advisor. Secondo il </w:t>
      </w:r>
      <w:proofErr w:type="spellStart"/>
      <w:r w:rsidRPr="000D5718">
        <w:rPr>
          <w:rFonts w:ascii="Calibri" w:eastAsia="Times New Roman" w:hAnsi="Calibri" w:cs="Calibri"/>
          <w:i/>
          <w:iCs/>
          <w:kern w:val="0"/>
          <w:sz w:val="24"/>
          <w:szCs w:val="24"/>
          <w:lang w:eastAsia="it-IT"/>
          <w14:ligatures w14:val="none"/>
        </w:rPr>
        <w:t>Changing</w:t>
      </w:r>
      <w:proofErr w:type="spellEnd"/>
      <w:r w:rsidRPr="000D5718">
        <w:rPr>
          <w:rFonts w:ascii="Calibri" w:eastAsia="Times New Roman" w:hAnsi="Calibri" w:cs="Calibri"/>
          <w:i/>
          <w:iCs/>
          <w:kern w:val="0"/>
          <w:sz w:val="24"/>
          <w:szCs w:val="24"/>
          <w:lang w:eastAsia="it-IT"/>
          <w14:ligatures w14:val="none"/>
        </w:rPr>
        <w:t xml:space="preserve"> Traveller Report 2025</w:t>
      </w:r>
      <w:r w:rsidRPr="000D5718">
        <w:rPr>
          <w:rFonts w:ascii="Calibri" w:eastAsia="Times New Roman" w:hAnsi="Calibri" w:cs="Calibri"/>
          <w:kern w:val="0"/>
          <w:sz w:val="24"/>
          <w:szCs w:val="24"/>
          <w:lang w:eastAsia="it-IT"/>
          <w14:ligatures w14:val="none"/>
        </w:rPr>
        <w:t xml:space="preserve"> di </w:t>
      </w:r>
      <w:proofErr w:type="spellStart"/>
      <w:r w:rsidRPr="000D5718">
        <w:rPr>
          <w:rFonts w:ascii="Calibri" w:eastAsia="Times New Roman" w:hAnsi="Calibri" w:cs="Calibri"/>
          <w:kern w:val="0"/>
          <w:sz w:val="24"/>
          <w:szCs w:val="24"/>
          <w:lang w:eastAsia="it-IT"/>
          <w14:ligatures w14:val="none"/>
        </w:rPr>
        <w:t>SiteMinder</w:t>
      </w:r>
      <w:proofErr w:type="spellEnd"/>
      <w:r w:rsidRPr="000D5718">
        <w:rPr>
          <w:rFonts w:ascii="Calibri" w:eastAsia="Times New Roman" w:hAnsi="Calibri" w:cs="Calibri"/>
          <w:kern w:val="0"/>
          <w:sz w:val="24"/>
          <w:szCs w:val="24"/>
          <w:lang w:eastAsia="it-IT"/>
          <w14:ligatures w14:val="none"/>
        </w:rPr>
        <w:t xml:space="preserve">, il </w:t>
      </w:r>
      <w:r w:rsidRPr="000D5718">
        <w:rPr>
          <w:rFonts w:ascii="Calibri" w:eastAsia="Times New Roman" w:hAnsi="Calibri" w:cs="Calibri"/>
          <w:b/>
          <w:bCs/>
          <w:kern w:val="0"/>
          <w:sz w:val="24"/>
          <w:szCs w:val="24"/>
          <w:lang w:eastAsia="it-IT"/>
          <w14:ligatures w14:val="none"/>
        </w:rPr>
        <w:t>69% degli italiani</w:t>
      </w:r>
      <w:r w:rsidRPr="000D5718">
        <w:rPr>
          <w:rFonts w:ascii="Calibri" w:eastAsia="Times New Roman" w:hAnsi="Calibri" w:cs="Calibri"/>
          <w:kern w:val="0"/>
          <w:sz w:val="24"/>
          <w:szCs w:val="24"/>
          <w:lang w:eastAsia="it-IT"/>
          <w14:ligatures w14:val="none"/>
        </w:rPr>
        <w:t xml:space="preserve"> è disposto a pagare di più per strutture eco-friendly.</w:t>
      </w:r>
    </w:p>
    <w:p w14:paraId="04B67497" w14:textId="77777777"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Cresce il ricorso alle </w:t>
      </w:r>
      <w:r w:rsidRPr="000D5718">
        <w:rPr>
          <w:rFonts w:ascii="Calibri" w:eastAsia="Times New Roman" w:hAnsi="Calibri" w:cs="Calibri"/>
          <w:b/>
          <w:bCs/>
          <w:kern w:val="0"/>
          <w:sz w:val="24"/>
          <w:szCs w:val="24"/>
          <w:lang w:eastAsia="it-IT"/>
          <w14:ligatures w14:val="none"/>
        </w:rPr>
        <w:t>agenzie di viaggio (+1,5%)</w:t>
      </w:r>
      <w:r w:rsidRPr="000D5718">
        <w:rPr>
          <w:rFonts w:ascii="Calibri" w:eastAsia="Times New Roman" w:hAnsi="Calibri" w:cs="Calibri"/>
          <w:kern w:val="0"/>
          <w:sz w:val="24"/>
          <w:szCs w:val="24"/>
          <w:lang w:eastAsia="it-IT"/>
          <w14:ligatures w14:val="none"/>
        </w:rPr>
        <w:t xml:space="preserve">, soprattutto per pacchetti e viaggi organizzati, mentre la </w:t>
      </w:r>
      <w:proofErr w:type="spellStart"/>
      <w:r w:rsidRPr="000D5718">
        <w:rPr>
          <w:rFonts w:ascii="Calibri" w:eastAsia="Times New Roman" w:hAnsi="Calibri" w:cs="Calibri"/>
          <w:b/>
          <w:bCs/>
          <w:kern w:val="0"/>
          <w:sz w:val="24"/>
          <w:szCs w:val="24"/>
          <w:lang w:eastAsia="it-IT"/>
          <w14:ligatures w14:val="none"/>
        </w:rPr>
        <w:t>workation</w:t>
      </w:r>
      <w:proofErr w:type="spellEnd"/>
      <w:r w:rsidRPr="000D5718">
        <w:rPr>
          <w:rFonts w:ascii="Calibri" w:eastAsia="Times New Roman" w:hAnsi="Calibri" w:cs="Calibri"/>
          <w:kern w:val="0"/>
          <w:sz w:val="24"/>
          <w:szCs w:val="24"/>
          <w:lang w:eastAsia="it-IT"/>
          <w14:ligatures w14:val="none"/>
        </w:rPr>
        <w:t xml:space="preserve"> – il lavoro in vacanza – è ormai un fenomeno consolidato, con il 35% degli italiani che porta il laptop anche in ferie.</w:t>
      </w:r>
    </w:p>
    <w:p w14:paraId="66A374BC" w14:textId="77777777"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 xml:space="preserve">La tecnologia diventa alleata di viaggio: il </w:t>
      </w:r>
      <w:r w:rsidRPr="000D5718">
        <w:rPr>
          <w:rFonts w:ascii="Calibri" w:eastAsia="Times New Roman" w:hAnsi="Calibri" w:cs="Calibri"/>
          <w:b/>
          <w:bCs/>
          <w:kern w:val="0"/>
          <w:sz w:val="24"/>
          <w:szCs w:val="24"/>
          <w:lang w:eastAsia="it-IT"/>
          <w14:ligatures w14:val="none"/>
        </w:rPr>
        <w:t>67% dei turisti</w:t>
      </w:r>
      <w:r w:rsidRPr="000D5718">
        <w:rPr>
          <w:rFonts w:ascii="Calibri" w:eastAsia="Times New Roman" w:hAnsi="Calibri" w:cs="Calibri"/>
          <w:kern w:val="0"/>
          <w:sz w:val="24"/>
          <w:szCs w:val="24"/>
          <w:lang w:eastAsia="it-IT"/>
          <w14:ligatures w14:val="none"/>
        </w:rPr>
        <w:t xml:space="preserve"> ha già utilizzato l’intelligenza artificiale per pianificare o prenotare le vacanze, e per uno su quattro l’AI è ormai più autorevole degli influencer come fonte di ispirazione.</w:t>
      </w:r>
    </w:p>
    <w:p w14:paraId="27C22CC3" w14:textId="77777777" w:rsidR="000D5718" w:rsidRPr="000D5718" w:rsidRDefault="000D5718" w:rsidP="000D5718">
      <w:pPr>
        <w:jc w:val="both"/>
        <w:rPr>
          <w:rFonts w:ascii="Calibri" w:eastAsia="Times New Roman" w:hAnsi="Calibri" w:cs="Calibri"/>
          <w:kern w:val="0"/>
          <w:sz w:val="24"/>
          <w:szCs w:val="24"/>
          <w:lang w:eastAsia="it-IT"/>
          <w14:ligatures w14:val="none"/>
        </w:rPr>
      </w:pPr>
      <w:r w:rsidRPr="000D5718">
        <w:rPr>
          <w:rFonts w:ascii="Calibri" w:eastAsia="Times New Roman" w:hAnsi="Calibri" w:cs="Calibri"/>
          <w:kern w:val="0"/>
          <w:sz w:val="24"/>
          <w:szCs w:val="24"/>
          <w:lang w:eastAsia="it-IT"/>
          <w14:ligatures w14:val="none"/>
        </w:rPr>
        <w:t>Non mancano però segnali di cautela: Federalberghi segnala un calo di americani e tedeschi nelle località balneari, compensato dalla tenuta del mercato domestico e dall’ottima performance delle destinazioni montane.</w:t>
      </w:r>
    </w:p>
    <w:p w14:paraId="0E276B7E" w14:textId="77777777" w:rsidR="00347500" w:rsidRPr="00085BF7" w:rsidRDefault="00347500" w:rsidP="004E5E3A">
      <w:pPr>
        <w:jc w:val="both"/>
        <w:rPr>
          <w:b/>
          <w:bCs/>
          <w:sz w:val="18"/>
          <w:szCs w:val="18"/>
        </w:rPr>
      </w:pP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8"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lastRenderedPageBreak/>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9"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0"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1" w:history="1">
        <w:r w:rsidRPr="00D32287">
          <w:rPr>
            <w:rStyle w:val="Collegamentoipertestuale"/>
            <w:sz w:val="18"/>
            <w:szCs w:val="18"/>
          </w:rPr>
          <w:t>fabrizio@mindthepop.it</w:t>
        </w:r>
      </w:hyperlink>
      <w:r w:rsidRPr="00D32287">
        <w:rPr>
          <w:sz w:val="18"/>
          <w:szCs w:val="18"/>
        </w:rPr>
        <w:t xml:space="preserve">, mob. +39 335 389 848; Benedetto Colli: </w:t>
      </w:r>
      <w:hyperlink r:id="rId12" w:history="1">
        <w:r w:rsidRPr="00D32287">
          <w:rPr>
            <w:rStyle w:val="Collegamentoipertestuale"/>
            <w:sz w:val="18"/>
            <w:szCs w:val="18"/>
          </w:rPr>
          <w:t>benedetto@mindthepop.it</w:t>
        </w:r>
      </w:hyperlink>
      <w:r w:rsidRPr="00D32287">
        <w:rPr>
          <w:sz w:val="18"/>
          <w:szCs w:val="18"/>
        </w:rPr>
        <w:t xml:space="preserve">, mob. 380 371 2272; Stefano Chiossi: </w:t>
      </w:r>
      <w:hyperlink r:id="rId13"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804B" w14:textId="77777777" w:rsidR="00780CE7" w:rsidRDefault="00780CE7" w:rsidP="00D32287">
      <w:pPr>
        <w:spacing w:after="0" w:line="240" w:lineRule="auto"/>
      </w:pPr>
      <w:r>
        <w:separator/>
      </w:r>
    </w:p>
  </w:endnote>
  <w:endnote w:type="continuationSeparator" w:id="0">
    <w:p w14:paraId="4242931A" w14:textId="77777777" w:rsidR="00780CE7" w:rsidRDefault="00780CE7"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D471" w14:textId="77777777" w:rsidR="00780CE7" w:rsidRDefault="00780CE7" w:rsidP="00D32287">
      <w:pPr>
        <w:spacing w:after="0" w:line="240" w:lineRule="auto"/>
      </w:pPr>
      <w:r>
        <w:separator/>
      </w:r>
    </w:p>
  </w:footnote>
  <w:footnote w:type="continuationSeparator" w:id="0">
    <w:p w14:paraId="77082A16" w14:textId="77777777" w:rsidR="00780CE7" w:rsidRDefault="00780CE7"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EF8"/>
    <w:rsid w:val="00015F3D"/>
    <w:rsid w:val="000166AE"/>
    <w:rsid w:val="00023EDB"/>
    <w:rsid w:val="00027D8E"/>
    <w:rsid w:val="00043210"/>
    <w:rsid w:val="0004795F"/>
    <w:rsid w:val="000506EF"/>
    <w:rsid w:val="00050F5C"/>
    <w:rsid w:val="00054950"/>
    <w:rsid w:val="00085BF7"/>
    <w:rsid w:val="00091370"/>
    <w:rsid w:val="00091E00"/>
    <w:rsid w:val="000A0D30"/>
    <w:rsid w:val="000B38AD"/>
    <w:rsid w:val="000B627E"/>
    <w:rsid w:val="000C23A1"/>
    <w:rsid w:val="000D5718"/>
    <w:rsid w:val="000E39AB"/>
    <w:rsid w:val="000F5DB2"/>
    <w:rsid w:val="001148C5"/>
    <w:rsid w:val="00135538"/>
    <w:rsid w:val="001364CD"/>
    <w:rsid w:val="001437E7"/>
    <w:rsid w:val="00160C3C"/>
    <w:rsid w:val="00166E89"/>
    <w:rsid w:val="0017179E"/>
    <w:rsid w:val="00175571"/>
    <w:rsid w:val="001A17C5"/>
    <w:rsid w:val="001A2FD7"/>
    <w:rsid w:val="001B58C1"/>
    <w:rsid w:val="001C08E8"/>
    <w:rsid w:val="001C0946"/>
    <w:rsid w:val="001F0D2E"/>
    <w:rsid w:val="001F4BFE"/>
    <w:rsid w:val="001F5C1E"/>
    <w:rsid w:val="00200379"/>
    <w:rsid w:val="00211A24"/>
    <w:rsid w:val="00254923"/>
    <w:rsid w:val="00263C53"/>
    <w:rsid w:val="002758B6"/>
    <w:rsid w:val="00285785"/>
    <w:rsid w:val="00287889"/>
    <w:rsid w:val="00290D02"/>
    <w:rsid w:val="00294AE9"/>
    <w:rsid w:val="002A49E4"/>
    <w:rsid w:val="002B2AF0"/>
    <w:rsid w:val="002D22C9"/>
    <w:rsid w:val="002F48B6"/>
    <w:rsid w:val="00300EA7"/>
    <w:rsid w:val="00314CAB"/>
    <w:rsid w:val="003356D7"/>
    <w:rsid w:val="0034253A"/>
    <w:rsid w:val="00344E96"/>
    <w:rsid w:val="003454C7"/>
    <w:rsid w:val="00347500"/>
    <w:rsid w:val="003503C5"/>
    <w:rsid w:val="00351D6A"/>
    <w:rsid w:val="0035210C"/>
    <w:rsid w:val="00354D63"/>
    <w:rsid w:val="00363AB4"/>
    <w:rsid w:val="00364189"/>
    <w:rsid w:val="00384359"/>
    <w:rsid w:val="003851EE"/>
    <w:rsid w:val="0039451C"/>
    <w:rsid w:val="00395EDC"/>
    <w:rsid w:val="003B6821"/>
    <w:rsid w:val="003C0B92"/>
    <w:rsid w:val="003C1E5C"/>
    <w:rsid w:val="003C3F73"/>
    <w:rsid w:val="003C4B4D"/>
    <w:rsid w:val="003D54B6"/>
    <w:rsid w:val="003E2E20"/>
    <w:rsid w:val="003F248A"/>
    <w:rsid w:val="003F41A0"/>
    <w:rsid w:val="00412389"/>
    <w:rsid w:val="0043315B"/>
    <w:rsid w:val="0043469B"/>
    <w:rsid w:val="00435256"/>
    <w:rsid w:val="00451C25"/>
    <w:rsid w:val="00465D7C"/>
    <w:rsid w:val="00465F95"/>
    <w:rsid w:val="00482E6A"/>
    <w:rsid w:val="00491CC9"/>
    <w:rsid w:val="0049494C"/>
    <w:rsid w:val="004A1A67"/>
    <w:rsid w:val="004A3E17"/>
    <w:rsid w:val="004B63EE"/>
    <w:rsid w:val="004E5AD0"/>
    <w:rsid w:val="004E5E3A"/>
    <w:rsid w:val="004F6310"/>
    <w:rsid w:val="004F7DC8"/>
    <w:rsid w:val="00507928"/>
    <w:rsid w:val="005234F8"/>
    <w:rsid w:val="00524B3D"/>
    <w:rsid w:val="005313B9"/>
    <w:rsid w:val="00542E2E"/>
    <w:rsid w:val="005516B0"/>
    <w:rsid w:val="00557E6F"/>
    <w:rsid w:val="00572508"/>
    <w:rsid w:val="00585975"/>
    <w:rsid w:val="00587269"/>
    <w:rsid w:val="0059095E"/>
    <w:rsid w:val="00591E46"/>
    <w:rsid w:val="005A5646"/>
    <w:rsid w:val="005A7FBB"/>
    <w:rsid w:val="005B36CA"/>
    <w:rsid w:val="005B5FA5"/>
    <w:rsid w:val="005D3EFB"/>
    <w:rsid w:val="005D5165"/>
    <w:rsid w:val="005E44B5"/>
    <w:rsid w:val="006203E0"/>
    <w:rsid w:val="006327D7"/>
    <w:rsid w:val="00670424"/>
    <w:rsid w:val="00675E96"/>
    <w:rsid w:val="00682E1A"/>
    <w:rsid w:val="006907E9"/>
    <w:rsid w:val="00695B5D"/>
    <w:rsid w:val="006A0FA9"/>
    <w:rsid w:val="006A25CC"/>
    <w:rsid w:val="006A3CEB"/>
    <w:rsid w:val="006A5158"/>
    <w:rsid w:val="006A6040"/>
    <w:rsid w:val="006B0797"/>
    <w:rsid w:val="006B5475"/>
    <w:rsid w:val="006D3EC4"/>
    <w:rsid w:val="006F5292"/>
    <w:rsid w:val="006F75C9"/>
    <w:rsid w:val="00757AFF"/>
    <w:rsid w:val="00774381"/>
    <w:rsid w:val="00777512"/>
    <w:rsid w:val="007808CD"/>
    <w:rsid w:val="00780CE7"/>
    <w:rsid w:val="00790F19"/>
    <w:rsid w:val="00793019"/>
    <w:rsid w:val="007C539A"/>
    <w:rsid w:val="007D2954"/>
    <w:rsid w:val="00802AE9"/>
    <w:rsid w:val="00814F93"/>
    <w:rsid w:val="00815807"/>
    <w:rsid w:val="00817768"/>
    <w:rsid w:val="00826EFB"/>
    <w:rsid w:val="00826F2F"/>
    <w:rsid w:val="00837F04"/>
    <w:rsid w:val="00845B2D"/>
    <w:rsid w:val="008573FC"/>
    <w:rsid w:val="00861C00"/>
    <w:rsid w:val="00865A6C"/>
    <w:rsid w:val="008718F5"/>
    <w:rsid w:val="00877232"/>
    <w:rsid w:val="008841BF"/>
    <w:rsid w:val="00884B02"/>
    <w:rsid w:val="0088617B"/>
    <w:rsid w:val="00897683"/>
    <w:rsid w:val="008A294D"/>
    <w:rsid w:val="008C137D"/>
    <w:rsid w:val="008E4058"/>
    <w:rsid w:val="008E5DC1"/>
    <w:rsid w:val="008F6C7A"/>
    <w:rsid w:val="0092684E"/>
    <w:rsid w:val="0092771F"/>
    <w:rsid w:val="00936E39"/>
    <w:rsid w:val="0096405A"/>
    <w:rsid w:val="00981E5D"/>
    <w:rsid w:val="00983262"/>
    <w:rsid w:val="00993731"/>
    <w:rsid w:val="009C1D77"/>
    <w:rsid w:val="009D7613"/>
    <w:rsid w:val="009E5284"/>
    <w:rsid w:val="009F0AE2"/>
    <w:rsid w:val="009F6A63"/>
    <w:rsid w:val="00A177F5"/>
    <w:rsid w:val="00A24873"/>
    <w:rsid w:val="00A24AEC"/>
    <w:rsid w:val="00A33A8F"/>
    <w:rsid w:val="00A34FB0"/>
    <w:rsid w:val="00A43DF2"/>
    <w:rsid w:val="00A53692"/>
    <w:rsid w:val="00A538FC"/>
    <w:rsid w:val="00A66FF7"/>
    <w:rsid w:val="00A87394"/>
    <w:rsid w:val="00A9107B"/>
    <w:rsid w:val="00A91C8B"/>
    <w:rsid w:val="00A93A00"/>
    <w:rsid w:val="00AB0C12"/>
    <w:rsid w:val="00AB639B"/>
    <w:rsid w:val="00AE01AA"/>
    <w:rsid w:val="00AE36E9"/>
    <w:rsid w:val="00AE4D68"/>
    <w:rsid w:val="00AF4DF7"/>
    <w:rsid w:val="00AF7995"/>
    <w:rsid w:val="00AF7DB9"/>
    <w:rsid w:val="00B056CC"/>
    <w:rsid w:val="00B140F3"/>
    <w:rsid w:val="00B22342"/>
    <w:rsid w:val="00B313A5"/>
    <w:rsid w:val="00B32D81"/>
    <w:rsid w:val="00B36189"/>
    <w:rsid w:val="00B51DB1"/>
    <w:rsid w:val="00B54D17"/>
    <w:rsid w:val="00B576A4"/>
    <w:rsid w:val="00B618F4"/>
    <w:rsid w:val="00B6347F"/>
    <w:rsid w:val="00B67EB6"/>
    <w:rsid w:val="00B84968"/>
    <w:rsid w:val="00B87CB0"/>
    <w:rsid w:val="00BA14AE"/>
    <w:rsid w:val="00BC34A7"/>
    <w:rsid w:val="00BC42AB"/>
    <w:rsid w:val="00BE3959"/>
    <w:rsid w:val="00BE4CA8"/>
    <w:rsid w:val="00BF2420"/>
    <w:rsid w:val="00BF255F"/>
    <w:rsid w:val="00C03526"/>
    <w:rsid w:val="00C05C77"/>
    <w:rsid w:val="00C12011"/>
    <w:rsid w:val="00C1739A"/>
    <w:rsid w:val="00C463BF"/>
    <w:rsid w:val="00C46598"/>
    <w:rsid w:val="00C51247"/>
    <w:rsid w:val="00C73E22"/>
    <w:rsid w:val="00C73F15"/>
    <w:rsid w:val="00C845CF"/>
    <w:rsid w:val="00CA7427"/>
    <w:rsid w:val="00CC3B27"/>
    <w:rsid w:val="00CD394C"/>
    <w:rsid w:val="00CE084A"/>
    <w:rsid w:val="00CE58E1"/>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86C8E"/>
    <w:rsid w:val="00D955D5"/>
    <w:rsid w:val="00D96228"/>
    <w:rsid w:val="00DB6B98"/>
    <w:rsid w:val="00DC147E"/>
    <w:rsid w:val="00DD15DF"/>
    <w:rsid w:val="00DE02F1"/>
    <w:rsid w:val="00DE1D65"/>
    <w:rsid w:val="00DF11AA"/>
    <w:rsid w:val="00DF3CE9"/>
    <w:rsid w:val="00DF5066"/>
    <w:rsid w:val="00E00FA8"/>
    <w:rsid w:val="00E042C2"/>
    <w:rsid w:val="00E14BB6"/>
    <w:rsid w:val="00E17A3C"/>
    <w:rsid w:val="00E26884"/>
    <w:rsid w:val="00E36D3B"/>
    <w:rsid w:val="00E403F9"/>
    <w:rsid w:val="00E41EF0"/>
    <w:rsid w:val="00E51A0C"/>
    <w:rsid w:val="00E55DF4"/>
    <w:rsid w:val="00E5784E"/>
    <w:rsid w:val="00E81067"/>
    <w:rsid w:val="00EA3225"/>
    <w:rsid w:val="00EF6C86"/>
    <w:rsid w:val="00F05004"/>
    <w:rsid w:val="00F16AF3"/>
    <w:rsid w:val="00F256F9"/>
    <w:rsid w:val="00F25AB9"/>
    <w:rsid w:val="00F77900"/>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benedetto@mindthepop.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image" Target="cid:image002.jpg@01DBBDB0.A6143EC0" TargetMode="Externa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3</cp:revision>
  <cp:lastPrinted>2025-04-28T07:29:00Z</cp:lastPrinted>
  <dcterms:created xsi:type="dcterms:W3CDTF">2025-10-01T09:39:00Z</dcterms:created>
  <dcterms:modified xsi:type="dcterms:W3CDTF">2025-10-01T13:28:00Z</dcterms:modified>
</cp:coreProperties>
</file>