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49139A" w:rsidRDefault="00D32287" w:rsidP="00E26884">
      <w:pPr>
        <w:rPr>
          <w:rFonts w:ascii="Calibri" w:hAnsi="Calibri" w:cs="Calibri"/>
          <w:b/>
          <w:bCs/>
          <w:color w:val="EE0000"/>
        </w:rPr>
      </w:pPr>
    </w:p>
    <w:p w14:paraId="1D1BE9D7" w14:textId="26190AC7" w:rsidR="00015F3D" w:rsidRPr="0049139A" w:rsidRDefault="00B72E47" w:rsidP="00015F3D">
      <w:pPr>
        <w:jc w:val="center"/>
        <w:rPr>
          <w:rFonts w:ascii="Calibri" w:hAnsi="Calibri" w:cs="Calibri"/>
          <w:i/>
          <w:iCs/>
        </w:rPr>
      </w:pPr>
      <w:r w:rsidRPr="0049139A">
        <w:rPr>
          <w:rFonts w:ascii="Calibri" w:hAnsi="Calibri" w:cs="Calibri"/>
          <w:i/>
          <w:iCs/>
        </w:rPr>
        <w:t>Press release</w:t>
      </w:r>
      <w:r w:rsidR="00F25AB9" w:rsidRPr="0049139A">
        <w:rPr>
          <w:rFonts w:ascii="Calibri" w:hAnsi="Calibri" w:cs="Calibri"/>
          <w:i/>
          <w:iCs/>
        </w:rPr>
        <w:t xml:space="preserve"> n</w:t>
      </w:r>
      <w:r w:rsidRPr="0049139A">
        <w:rPr>
          <w:rFonts w:ascii="Calibri" w:hAnsi="Calibri" w:cs="Calibri"/>
          <w:i/>
          <w:iCs/>
        </w:rPr>
        <w:t>o</w:t>
      </w:r>
      <w:r w:rsidR="00F25AB9" w:rsidRPr="0049139A">
        <w:rPr>
          <w:rFonts w:ascii="Calibri" w:hAnsi="Calibri" w:cs="Calibri"/>
          <w:i/>
          <w:iCs/>
        </w:rPr>
        <w:t xml:space="preserve">. </w:t>
      </w:r>
      <w:r w:rsidR="004F7AF4" w:rsidRPr="0049139A">
        <w:rPr>
          <w:rFonts w:ascii="Calibri" w:hAnsi="Calibri" w:cs="Calibri"/>
          <w:i/>
          <w:iCs/>
        </w:rPr>
        <w:t>6</w:t>
      </w:r>
    </w:p>
    <w:p w14:paraId="1DCE5C92" w14:textId="1A59E4C8" w:rsidR="00971066" w:rsidRPr="0049139A" w:rsidRDefault="00644341" w:rsidP="00F25AB9">
      <w:pPr>
        <w:spacing w:before="100" w:beforeAutospacing="1" w:after="100" w:afterAutospacing="1" w:line="240" w:lineRule="auto"/>
        <w:jc w:val="center"/>
        <w:rPr>
          <w:rFonts w:ascii="Calibri" w:eastAsia="Times New Roman" w:hAnsi="Calibri" w:cs="Calibri"/>
          <w:b/>
          <w:bCs/>
          <w:kern w:val="0"/>
          <w:sz w:val="24"/>
          <w:szCs w:val="24"/>
          <w:lang w:eastAsia="it-IT"/>
          <w14:ligatures w14:val="none"/>
        </w:rPr>
      </w:pPr>
      <w:r w:rsidRPr="0049139A">
        <w:rPr>
          <w:rFonts w:ascii="Calibri" w:eastAsia="Times New Roman" w:hAnsi="Calibri" w:cs="Calibri"/>
          <w:b/>
          <w:bCs/>
          <w:kern w:val="0"/>
          <w:sz w:val="24"/>
          <w:szCs w:val="24"/>
          <w:lang w:eastAsia="it-IT"/>
          <w14:ligatures w14:val="none"/>
        </w:rPr>
        <w:t>TTG 2025</w:t>
      </w:r>
      <w:r w:rsidR="00B41C37" w:rsidRPr="0049139A">
        <w:rPr>
          <w:rFonts w:ascii="Calibri" w:eastAsia="Times New Roman" w:hAnsi="Calibri" w:cs="Calibri"/>
          <w:b/>
          <w:bCs/>
          <w:kern w:val="0"/>
          <w:sz w:val="24"/>
          <w:szCs w:val="24"/>
          <w:lang w:eastAsia="it-IT"/>
          <w14:ligatures w14:val="none"/>
        </w:rPr>
        <w:t xml:space="preserve"> </w:t>
      </w:r>
      <w:r w:rsidR="0049139A" w:rsidRPr="0049139A">
        <w:rPr>
          <w:rFonts w:ascii="Calibri" w:eastAsia="Times New Roman" w:hAnsi="Calibri" w:cs="Calibri"/>
          <w:b/>
          <w:bCs/>
          <w:kern w:val="0"/>
          <w:sz w:val="24"/>
          <w:szCs w:val="24"/>
          <w:lang w:eastAsia="it-IT"/>
          <w14:ligatures w14:val="none"/>
        </w:rPr>
        <w:t>LAYOUT</w:t>
      </w:r>
    </w:p>
    <w:p w14:paraId="2C972DB2" w14:textId="11E86A5B" w:rsidR="00644341" w:rsidRPr="0049139A" w:rsidRDefault="00644341" w:rsidP="00644341">
      <w:pPr>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49139A">
          <w:rPr>
            <w:rStyle w:val="Collegamentoipertestuale"/>
            <w:rFonts w:ascii="Calibri" w:eastAsia="Times New Roman" w:hAnsi="Calibri" w:cs="Calibri"/>
            <w:kern w:val="0"/>
            <w:lang w:eastAsia="it-IT"/>
            <w14:ligatures w14:val="none"/>
          </w:rPr>
          <w:t>www.ttgexpo.it</w:t>
        </w:r>
      </w:hyperlink>
      <w:r w:rsidRPr="0049139A">
        <w:rPr>
          <w:rFonts w:ascii="Calibri" w:eastAsia="Times New Roman" w:hAnsi="Calibri" w:cs="Calibri"/>
          <w:kern w:val="0"/>
          <w:lang w:eastAsia="it-IT"/>
          <w14:ligatures w14:val="none"/>
        </w:rPr>
        <w:t xml:space="preserve"> | </w:t>
      </w:r>
      <w:hyperlink r:id="rId8" w:history="1">
        <w:r w:rsidRPr="0049139A">
          <w:rPr>
            <w:rStyle w:val="Collegamentoipertestuale"/>
            <w:rFonts w:ascii="Calibri" w:eastAsia="Times New Roman" w:hAnsi="Calibri" w:cs="Calibri"/>
            <w:kern w:val="0"/>
            <w:lang w:eastAsia="it-IT"/>
            <w14:ligatures w14:val="none"/>
          </w:rPr>
          <w:t>www.inout.it</w:t>
        </w:r>
      </w:hyperlink>
    </w:p>
    <w:p w14:paraId="120CA715" w14:textId="3E948097" w:rsidR="00971066" w:rsidRPr="0049139A" w:rsidRDefault="0049139A" w:rsidP="004949D4">
      <w:p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49139A">
        <w:rPr>
          <w:rFonts w:ascii="Calibri" w:eastAsia="Times New Roman" w:hAnsi="Calibri" w:cs="Calibri"/>
          <w:b/>
          <w:bCs/>
          <w:kern w:val="0"/>
          <w:sz w:val="24"/>
          <w:szCs w:val="24"/>
          <w:lang w:eastAsia="it-IT"/>
          <w14:ligatures w14:val="none"/>
        </w:rPr>
        <w:t>TTG Travel Experience 2025</w:t>
      </w:r>
      <w:r w:rsidRPr="0049139A">
        <w:rPr>
          <w:rFonts w:ascii="Calibri" w:eastAsia="Times New Roman" w:hAnsi="Calibri" w:cs="Calibri"/>
          <w:kern w:val="0"/>
          <w:sz w:val="24"/>
          <w:szCs w:val="24"/>
          <w:lang w:eastAsia="it-IT"/>
          <w14:ligatures w14:val="none"/>
        </w:rPr>
        <w:t xml:space="preserve"> spans </w:t>
      </w:r>
      <w:r w:rsidRPr="0049139A">
        <w:rPr>
          <w:rFonts w:ascii="Calibri" w:eastAsia="Times New Roman" w:hAnsi="Calibri" w:cs="Calibri"/>
          <w:b/>
          <w:bCs/>
          <w:kern w:val="0"/>
          <w:sz w:val="24"/>
          <w:szCs w:val="24"/>
          <w:lang w:eastAsia="it-IT"/>
          <w14:ligatures w14:val="none"/>
        </w:rPr>
        <w:t>14 halls</w:t>
      </w:r>
      <w:r w:rsidRPr="0049139A">
        <w:rPr>
          <w:rFonts w:ascii="Calibri" w:eastAsia="Times New Roman" w:hAnsi="Calibri" w:cs="Calibri"/>
          <w:kern w:val="0"/>
          <w:sz w:val="24"/>
          <w:szCs w:val="24"/>
          <w:lang w:eastAsia="it-IT"/>
          <w14:ligatures w14:val="none"/>
        </w:rPr>
        <w:t xml:space="preserve"> in the West wing of Rimini Expo Centre, hosting all the Italian regions, major institutional bodies, and international destinations, along with tour operators, hotel chains, and tourism service providers.</w:t>
      </w:r>
    </w:p>
    <w:p w14:paraId="0E276B7E" w14:textId="44816451" w:rsidR="00347500" w:rsidRPr="0049139A" w:rsidRDefault="006D1765" w:rsidP="00971066">
      <w:pPr>
        <w:jc w:val="center"/>
        <w:rPr>
          <w:b/>
          <w:bCs/>
          <w:sz w:val="24"/>
          <w:szCs w:val="24"/>
        </w:rPr>
      </w:pPr>
      <w:r w:rsidRPr="0049139A">
        <w:rPr>
          <w:noProof/>
          <w:sz w:val="24"/>
          <w:szCs w:val="24"/>
        </w:rPr>
        <w:drawing>
          <wp:inline distT="0" distB="0" distL="0" distR="0" wp14:anchorId="7066918E" wp14:editId="6F4F9D11">
            <wp:extent cx="5992488" cy="4337050"/>
            <wp:effectExtent l="0" t="0" r="8890" b="6350"/>
            <wp:docPr id="20728339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231"/>
                    <a:stretch>
                      <a:fillRect/>
                    </a:stretch>
                  </pic:blipFill>
                  <pic:spPr bwMode="auto">
                    <a:xfrm>
                      <a:off x="0" y="0"/>
                      <a:ext cx="6006085" cy="4346891"/>
                    </a:xfrm>
                    <a:prstGeom prst="rect">
                      <a:avLst/>
                    </a:prstGeom>
                    <a:noFill/>
                    <a:ln>
                      <a:noFill/>
                    </a:ln>
                    <a:extLst>
                      <a:ext uri="{53640926-AAD7-44D8-BBD7-CCE9431645EC}">
                        <a14:shadowObscured xmlns:a14="http://schemas.microsoft.com/office/drawing/2010/main"/>
                      </a:ext>
                    </a:extLst>
                  </pic:spPr>
                </pic:pic>
              </a:graphicData>
            </a:graphic>
          </wp:inline>
        </w:drawing>
      </w:r>
    </w:p>
    <w:p w14:paraId="74315181" w14:textId="36C1BDDD" w:rsidR="00981081" w:rsidRPr="0049139A" w:rsidRDefault="0049139A" w:rsidP="00981081">
      <w:pPr>
        <w:rPr>
          <w:rFonts w:ascii="Calibri" w:hAnsi="Calibri" w:cs="Calibri"/>
          <w:b/>
          <w:bCs/>
          <w:sz w:val="24"/>
          <w:szCs w:val="24"/>
        </w:rPr>
      </w:pPr>
      <w:r w:rsidRPr="0049139A">
        <w:rPr>
          <w:rFonts w:ascii="Calibri" w:hAnsi="Calibri" w:cs="Calibri"/>
          <w:b/>
          <w:bCs/>
          <w:sz w:val="24"/>
          <w:szCs w:val="24"/>
        </w:rPr>
        <w:t>AREA DIVISION</w:t>
      </w:r>
    </w:p>
    <w:p w14:paraId="1B52636F" w14:textId="77777777" w:rsidR="00981081" w:rsidRPr="0049139A" w:rsidRDefault="00981081" w:rsidP="00981081">
      <w:pPr>
        <w:jc w:val="both"/>
        <w:rPr>
          <w:rFonts w:ascii="Calibri" w:hAnsi="Calibri" w:cs="Calibri"/>
          <w:b/>
          <w:bCs/>
          <w:sz w:val="24"/>
          <w:szCs w:val="24"/>
        </w:rPr>
      </w:pPr>
      <w:r w:rsidRPr="0049139A">
        <w:rPr>
          <w:rFonts w:ascii="Calibri" w:hAnsi="Calibri" w:cs="Calibri"/>
          <w:b/>
          <w:bCs/>
          <w:sz w:val="24"/>
          <w:szCs w:val="24"/>
        </w:rPr>
        <w:t>Global Village (A1-A2-A3-A4)</w:t>
      </w:r>
    </w:p>
    <w:p w14:paraId="2310C643" w14:textId="4B088514" w:rsidR="00981081" w:rsidRPr="0049139A" w:rsidRDefault="0049139A" w:rsidP="00981081">
      <w:pPr>
        <w:jc w:val="both"/>
        <w:rPr>
          <w:rFonts w:ascii="Calibri" w:hAnsi="Calibri" w:cs="Calibri"/>
          <w:b/>
          <w:bCs/>
          <w:sz w:val="24"/>
          <w:szCs w:val="24"/>
        </w:rPr>
      </w:pPr>
      <w:r w:rsidRPr="0049139A">
        <w:rPr>
          <w:rFonts w:ascii="Calibri" w:hAnsi="Calibri" w:cs="Calibri"/>
          <w:sz w:val="24"/>
          <w:szCs w:val="24"/>
        </w:rPr>
        <w:t>The beating heart of the B2B business, it hosts tour operators, distribution networks, transport carriers, travel tech companies, and tourism products and services. It is the place where technology and innovation converge, and strategic partnerships for the supply chain are forged.</w:t>
      </w:r>
    </w:p>
    <w:p w14:paraId="18B73776" w14:textId="3E8FBEB7" w:rsidR="00981081" w:rsidRPr="0049139A" w:rsidRDefault="00981081" w:rsidP="00981081">
      <w:pPr>
        <w:jc w:val="both"/>
        <w:rPr>
          <w:rFonts w:ascii="Calibri" w:hAnsi="Calibri" w:cs="Calibri"/>
          <w:b/>
          <w:bCs/>
          <w:sz w:val="24"/>
          <w:szCs w:val="24"/>
        </w:rPr>
      </w:pPr>
      <w:r w:rsidRPr="0049139A">
        <w:rPr>
          <w:rFonts w:ascii="Calibri" w:hAnsi="Calibri" w:cs="Calibri"/>
          <w:b/>
          <w:bCs/>
          <w:sz w:val="24"/>
          <w:szCs w:val="24"/>
        </w:rPr>
        <w:t>Ital</w:t>
      </w:r>
      <w:r w:rsidR="0049139A" w:rsidRPr="0049139A">
        <w:rPr>
          <w:rFonts w:ascii="Calibri" w:hAnsi="Calibri" w:cs="Calibri"/>
          <w:b/>
          <w:bCs/>
          <w:sz w:val="24"/>
          <w:szCs w:val="24"/>
        </w:rPr>
        <w:t>y</w:t>
      </w:r>
      <w:r w:rsidRPr="0049139A">
        <w:rPr>
          <w:rFonts w:ascii="Calibri" w:hAnsi="Calibri" w:cs="Calibri"/>
          <w:b/>
          <w:bCs/>
          <w:sz w:val="24"/>
          <w:szCs w:val="24"/>
        </w:rPr>
        <w:t xml:space="preserve"> (A5-A6-A7-C4-C5-C6-C7)</w:t>
      </w:r>
    </w:p>
    <w:p w14:paraId="5592D0AE" w14:textId="10FE7E5B" w:rsidR="00981081" w:rsidRPr="0049139A" w:rsidRDefault="0049139A" w:rsidP="00981081">
      <w:pPr>
        <w:jc w:val="both"/>
        <w:rPr>
          <w:rFonts w:ascii="Calibri" w:hAnsi="Calibri" w:cs="Calibri"/>
          <w:b/>
          <w:bCs/>
          <w:sz w:val="24"/>
          <w:szCs w:val="24"/>
        </w:rPr>
      </w:pPr>
      <w:r w:rsidRPr="0049139A">
        <w:rPr>
          <w:rFonts w:ascii="Calibri" w:hAnsi="Calibri" w:cs="Calibri"/>
          <w:sz w:val="24"/>
          <w:szCs w:val="24"/>
        </w:rPr>
        <w:t xml:space="preserve">The largest national tourism hub: here, regions, DMOs, and consortia showcase the best of Italy, from beach destinations to art cities, from walks to villages, and from food and wine to active tourism. The focus on </w:t>
      </w:r>
      <w:r w:rsidRPr="0049139A">
        <w:rPr>
          <w:rFonts w:ascii="Calibri" w:hAnsi="Calibri" w:cs="Calibri"/>
          <w:b/>
          <w:bCs/>
          <w:sz w:val="24"/>
          <w:szCs w:val="24"/>
        </w:rPr>
        <w:t>nautical tourism</w:t>
      </w:r>
      <w:r w:rsidRPr="0049139A">
        <w:rPr>
          <w:rFonts w:ascii="Calibri" w:hAnsi="Calibri" w:cs="Calibri"/>
          <w:sz w:val="24"/>
          <w:szCs w:val="24"/>
        </w:rPr>
        <w:t xml:space="preserve"> returns to </w:t>
      </w:r>
      <w:r w:rsidRPr="0049139A">
        <w:rPr>
          <w:rFonts w:ascii="Calibri" w:hAnsi="Calibri" w:cs="Calibri"/>
          <w:b/>
          <w:bCs/>
          <w:sz w:val="24"/>
          <w:szCs w:val="24"/>
        </w:rPr>
        <w:t>Hall C4</w:t>
      </w:r>
      <w:r w:rsidRPr="0049139A">
        <w:rPr>
          <w:rFonts w:ascii="Calibri" w:hAnsi="Calibri" w:cs="Calibri"/>
          <w:sz w:val="24"/>
          <w:szCs w:val="24"/>
        </w:rPr>
        <w:t xml:space="preserve">: from charters to cruises, and from marinas </w:t>
      </w:r>
      <w:r w:rsidRPr="0049139A">
        <w:rPr>
          <w:rFonts w:ascii="Calibri" w:hAnsi="Calibri" w:cs="Calibri"/>
          <w:sz w:val="24"/>
          <w:szCs w:val="24"/>
        </w:rPr>
        <w:lastRenderedPageBreak/>
        <w:t>to coastal reserves, this space is designed to highlight the companies that facilitate maritime experiences.</w:t>
      </w:r>
    </w:p>
    <w:p w14:paraId="707C8F9C" w14:textId="6ABB649B" w:rsidR="0049139A" w:rsidRPr="0049139A" w:rsidRDefault="00981081" w:rsidP="0049139A">
      <w:pPr>
        <w:rPr>
          <w:rFonts w:ascii="Calibri" w:hAnsi="Calibri" w:cs="Calibri"/>
          <w:bCs/>
          <w:sz w:val="24"/>
          <w:szCs w:val="24"/>
          <w:shd w:val="clear" w:color="auto" w:fill="FFFFFF"/>
        </w:rPr>
      </w:pPr>
      <w:r w:rsidRPr="0049139A">
        <w:rPr>
          <w:rFonts w:ascii="Calibri" w:hAnsi="Calibri" w:cs="Calibri"/>
          <w:b/>
          <w:bCs/>
          <w:sz w:val="24"/>
          <w:szCs w:val="24"/>
        </w:rPr>
        <w:t>The World (C1-C2-C3)</w:t>
      </w:r>
      <w:r w:rsidRPr="0049139A">
        <w:rPr>
          <w:rFonts w:ascii="Calibri" w:hAnsi="Calibri" w:cs="Calibri"/>
          <w:b/>
          <w:bCs/>
          <w:sz w:val="24"/>
          <w:szCs w:val="24"/>
        </w:rPr>
        <w:br/>
      </w:r>
      <w:r w:rsidR="0049139A" w:rsidRPr="0049139A">
        <w:rPr>
          <w:rFonts w:ascii="Calibri" w:hAnsi="Calibri" w:cs="Calibri"/>
          <w:bCs/>
          <w:sz w:val="24"/>
          <w:szCs w:val="24"/>
          <w:shd w:val="clear" w:color="auto" w:fill="FFFFFF"/>
        </w:rPr>
        <w:t xml:space="preserve">The area that brings together the main international destinations interested in developing business with the Italian market. A hub to discover emerging destinations, strengthen relationships with major players in outbound tourism, and create innovative packages. Hall C2, also houses the </w:t>
      </w:r>
      <w:r w:rsidR="0049139A" w:rsidRPr="0049139A">
        <w:rPr>
          <w:rFonts w:ascii="Calibri" w:hAnsi="Calibri" w:cs="Calibri"/>
          <w:b/>
          <w:sz w:val="24"/>
          <w:szCs w:val="24"/>
          <w:shd w:val="clear" w:color="auto" w:fill="FFFFFF"/>
        </w:rPr>
        <w:t>African Village</w:t>
      </w:r>
      <w:r w:rsidR="0049139A" w:rsidRPr="0049139A">
        <w:rPr>
          <w:rFonts w:ascii="Calibri" w:hAnsi="Calibri" w:cs="Calibri"/>
          <w:bCs/>
          <w:sz w:val="24"/>
          <w:szCs w:val="24"/>
          <w:shd w:val="clear" w:color="auto" w:fill="FFFFFF"/>
        </w:rPr>
        <w:t>: a collective area that showcases all operators and destinations specialising in sub-Saharan Africa.</w:t>
      </w:r>
    </w:p>
    <w:p w14:paraId="272AA0B2" w14:textId="686B5CF8" w:rsidR="000D3FEE" w:rsidRPr="0049139A" w:rsidRDefault="0049139A" w:rsidP="00676BB6">
      <w:pPr>
        <w:jc w:val="both"/>
        <w:rPr>
          <w:rFonts w:ascii="Calibri" w:hAnsi="Calibri" w:cs="Calibri"/>
          <w:bCs/>
          <w:sz w:val="24"/>
          <w:szCs w:val="24"/>
        </w:rPr>
      </w:pPr>
      <w:r w:rsidRPr="0049139A">
        <w:rPr>
          <w:rFonts w:ascii="Calibri" w:hAnsi="Calibri" w:cs="Calibri"/>
          <w:bCs/>
          <w:sz w:val="24"/>
          <w:szCs w:val="24"/>
        </w:rPr>
        <w:t xml:space="preserve">Moving on to the Arenas, the Main Arena </w:t>
      </w:r>
      <w:proofErr w:type="gramStart"/>
      <w:r w:rsidRPr="0049139A">
        <w:rPr>
          <w:rFonts w:ascii="Calibri" w:hAnsi="Calibri" w:cs="Calibri"/>
          <w:bCs/>
          <w:sz w:val="24"/>
          <w:szCs w:val="24"/>
        </w:rPr>
        <w:t>is located in</w:t>
      </w:r>
      <w:proofErr w:type="gramEnd"/>
      <w:r w:rsidRPr="0049139A">
        <w:rPr>
          <w:rFonts w:ascii="Calibri" w:hAnsi="Calibri" w:cs="Calibri"/>
          <w:bCs/>
          <w:sz w:val="24"/>
          <w:szCs w:val="24"/>
        </w:rPr>
        <w:t xml:space="preserve"> the south hall, spanning both events (TTG and INOUT).</w:t>
      </w:r>
    </w:p>
    <w:p w14:paraId="0428ADCF" w14:textId="07020543" w:rsidR="00CC745C" w:rsidRPr="0049139A" w:rsidRDefault="0049139A" w:rsidP="0049139A">
      <w:pPr>
        <w:jc w:val="both"/>
        <w:rPr>
          <w:rFonts w:ascii="Calibri" w:hAnsi="Calibri" w:cs="Calibri"/>
          <w:bCs/>
          <w:sz w:val="24"/>
          <w:szCs w:val="24"/>
          <w:shd w:val="clear" w:color="auto" w:fill="FFFFFF"/>
        </w:rPr>
      </w:pPr>
      <w:r w:rsidRPr="0049139A">
        <w:rPr>
          <w:rFonts w:ascii="Calibri" w:hAnsi="Calibri" w:cs="Calibri"/>
          <w:bCs/>
          <w:sz w:val="24"/>
          <w:szCs w:val="24"/>
          <w:shd w:val="clear" w:color="auto" w:fill="FFFFFF"/>
        </w:rPr>
        <w:t xml:space="preserve">In </w:t>
      </w:r>
      <w:r w:rsidRPr="0049139A">
        <w:rPr>
          <w:rFonts w:ascii="Calibri" w:hAnsi="Calibri" w:cs="Calibri"/>
          <w:b/>
          <w:sz w:val="24"/>
          <w:szCs w:val="24"/>
          <w:shd w:val="clear" w:color="auto" w:fill="FFFFFF"/>
        </w:rPr>
        <w:t>Hall A6</w:t>
      </w:r>
      <w:r w:rsidRPr="0049139A">
        <w:rPr>
          <w:rFonts w:ascii="Calibri" w:hAnsi="Calibri" w:cs="Calibri"/>
          <w:bCs/>
          <w:sz w:val="24"/>
          <w:szCs w:val="24"/>
          <w:shd w:val="clear" w:color="auto" w:fill="FFFFFF"/>
        </w:rPr>
        <w:t xml:space="preserve">, all 60 innovative startups participating in TTG NEXT Startup will be showcased. This innovation lab, dedicated to startups, will feature a contest and awards for the best ideas and solutions in the tourism industry, taking place in the </w:t>
      </w:r>
      <w:r w:rsidRPr="0049139A">
        <w:rPr>
          <w:rFonts w:ascii="Calibri" w:hAnsi="Calibri" w:cs="Calibri"/>
          <w:b/>
          <w:sz w:val="24"/>
          <w:szCs w:val="24"/>
          <w:shd w:val="clear" w:color="auto" w:fill="FFFFFF"/>
        </w:rPr>
        <w:t>TTG Next Startup</w:t>
      </w:r>
      <w:r w:rsidRPr="0049139A">
        <w:rPr>
          <w:rFonts w:ascii="Calibri" w:hAnsi="Calibri" w:cs="Calibri"/>
          <w:bCs/>
          <w:sz w:val="24"/>
          <w:szCs w:val="24"/>
          <w:shd w:val="clear" w:color="auto" w:fill="FFFFFF"/>
        </w:rPr>
        <w:t xml:space="preserve"> Arena.</w:t>
      </w:r>
      <w:r w:rsidRPr="0049139A">
        <w:rPr>
          <w:rFonts w:ascii="Calibri" w:hAnsi="Calibri" w:cs="Calibri"/>
          <w:bCs/>
          <w:sz w:val="24"/>
          <w:szCs w:val="24"/>
          <w:shd w:val="clear" w:color="auto" w:fill="FFFFFF"/>
        </w:rPr>
        <w:br/>
        <w:t xml:space="preserve">Among the </w:t>
      </w:r>
      <w:r w:rsidRPr="0049139A">
        <w:rPr>
          <w:rFonts w:ascii="Calibri" w:hAnsi="Calibri" w:cs="Calibri"/>
          <w:b/>
          <w:sz w:val="24"/>
          <w:szCs w:val="24"/>
          <w:shd w:val="clear" w:color="auto" w:fill="FFFFFF"/>
        </w:rPr>
        <w:t>2025 innovations, Hotel Chains</w:t>
      </w:r>
      <w:r w:rsidRPr="0049139A">
        <w:rPr>
          <w:rFonts w:ascii="Calibri" w:hAnsi="Calibri" w:cs="Calibri"/>
          <w:bCs/>
          <w:sz w:val="24"/>
          <w:szCs w:val="24"/>
          <w:shd w:val="clear" w:color="auto" w:fill="FFFFFF"/>
        </w:rPr>
        <w:t xml:space="preserve"> is a project entirely dedicated to hotel chains, unfolding as an exhibition path across various halls. A meeting point for investors, property managers, and industry professionals, featuring talks and workshops on the new era of hospitality.</w:t>
      </w:r>
    </w:p>
    <w:p w14:paraId="0DC64274" w14:textId="77777777" w:rsidR="0049139A" w:rsidRPr="0049139A" w:rsidRDefault="0049139A" w:rsidP="0049139A">
      <w:pPr>
        <w:jc w:val="both"/>
        <w:rPr>
          <w:rFonts w:ascii="Calibri" w:hAnsi="Calibri" w:cs="Calibri"/>
          <w:bCs/>
          <w:sz w:val="24"/>
          <w:szCs w:val="24"/>
          <w:shd w:val="clear" w:color="auto" w:fill="FFFFFF"/>
        </w:rPr>
      </w:pPr>
    </w:p>
    <w:p w14:paraId="583541D9" w14:textId="77777777" w:rsidR="0049139A" w:rsidRPr="0049139A" w:rsidRDefault="0049139A" w:rsidP="0049139A">
      <w:pPr>
        <w:jc w:val="both"/>
        <w:rPr>
          <w:rFonts w:ascii="Calibri" w:hAnsi="Calibri" w:cs="Calibri"/>
          <w:sz w:val="24"/>
          <w:szCs w:val="24"/>
        </w:rPr>
      </w:pPr>
    </w:p>
    <w:p w14:paraId="5877D918" w14:textId="61C2EDBE" w:rsidR="004E5E3A" w:rsidRPr="0049139A" w:rsidRDefault="004E5E3A" w:rsidP="004E5E3A">
      <w:pPr>
        <w:jc w:val="both"/>
        <w:rPr>
          <w:b/>
          <w:bCs/>
          <w:sz w:val="18"/>
          <w:szCs w:val="18"/>
        </w:rPr>
      </w:pPr>
      <w:r w:rsidRPr="0049139A">
        <w:rPr>
          <w:b/>
          <w:bCs/>
          <w:sz w:val="18"/>
          <w:szCs w:val="18"/>
        </w:rPr>
        <w:t>ABOUT TTG TRAVEL EXPERIENCE – INOUT | The Hospitality Community</w:t>
      </w:r>
    </w:p>
    <w:p w14:paraId="367FAB27" w14:textId="77777777" w:rsidR="0035328E" w:rsidRPr="00081B81" w:rsidRDefault="0035328E" w:rsidP="0035328E">
      <w:pPr>
        <w:jc w:val="both"/>
        <w:rPr>
          <w:rFonts w:ascii="Calibri" w:hAnsi="Calibri" w:cs="Calibri"/>
          <w:sz w:val="20"/>
          <w:szCs w:val="20"/>
        </w:rPr>
      </w:pPr>
      <w:r w:rsidRPr="00081B81">
        <w:rPr>
          <w:rFonts w:ascii="Calibri" w:hAnsi="Calibri" w:cs="Calibri"/>
          <w:b/>
          <w:bCs/>
          <w:sz w:val="20"/>
          <w:szCs w:val="20"/>
        </w:rPr>
        <w:t>Event</w:t>
      </w:r>
      <w:r w:rsidRPr="00081B81">
        <w:rPr>
          <w:rFonts w:ascii="Calibri" w:hAnsi="Calibri" w:cs="Calibri"/>
          <w:sz w:val="20"/>
          <w:szCs w:val="20"/>
        </w:rPr>
        <w:t xml:space="preserve">: international trade show; </w:t>
      </w:r>
      <w:r w:rsidRPr="00081B81">
        <w:rPr>
          <w:rFonts w:ascii="Calibri" w:hAnsi="Calibri" w:cs="Calibri"/>
          <w:b/>
          <w:bCs/>
          <w:sz w:val="20"/>
          <w:szCs w:val="20"/>
        </w:rPr>
        <w:t>organiser</w:t>
      </w:r>
      <w:r w:rsidRPr="00081B81">
        <w:rPr>
          <w:rFonts w:ascii="Calibri" w:hAnsi="Calibri" w:cs="Calibri"/>
          <w:sz w:val="20"/>
          <w:szCs w:val="20"/>
        </w:rPr>
        <w:t xml:space="preserve">: Italian Exhibition Group SpA; </w:t>
      </w:r>
      <w:r w:rsidRPr="00081B81">
        <w:rPr>
          <w:rFonts w:ascii="Calibri" w:hAnsi="Calibri" w:cs="Calibri"/>
          <w:b/>
          <w:bCs/>
          <w:sz w:val="20"/>
          <w:szCs w:val="20"/>
        </w:rPr>
        <w:t>frequency</w:t>
      </w:r>
      <w:r w:rsidRPr="00081B81">
        <w:rPr>
          <w:rFonts w:ascii="Calibri" w:hAnsi="Calibri" w:cs="Calibri"/>
          <w:sz w:val="20"/>
          <w:szCs w:val="20"/>
        </w:rPr>
        <w:t xml:space="preserve">: annual; </w:t>
      </w:r>
      <w:r w:rsidRPr="00081B81">
        <w:rPr>
          <w:rFonts w:ascii="Calibri" w:hAnsi="Calibri" w:cs="Calibri"/>
          <w:b/>
          <w:bCs/>
          <w:sz w:val="20"/>
          <w:szCs w:val="20"/>
        </w:rPr>
        <w:t>edition</w:t>
      </w:r>
      <w:r w:rsidRPr="00081B81">
        <w:rPr>
          <w:rFonts w:ascii="Calibri" w:hAnsi="Calibri" w:cs="Calibri"/>
          <w:sz w:val="20"/>
          <w:szCs w:val="20"/>
        </w:rPr>
        <w:t>: 62</w:t>
      </w:r>
      <w:r w:rsidRPr="00081B81">
        <w:rPr>
          <w:rFonts w:ascii="Calibri" w:hAnsi="Calibri" w:cs="Calibri"/>
          <w:sz w:val="20"/>
          <w:szCs w:val="20"/>
          <w:vertAlign w:val="superscript"/>
        </w:rPr>
        <w:t>nd</w:t>
      </w:r>
      <w:r w:rsidRPr="00081B81">
        <w:rPr>
          <w:rFonts w:ascii="Calibri" w:hAnsi="Calibri" w:cs="Calibri"/>
          <w:sz w:val="20"/>
          <w:szCs w:val="20"/>
        </w:rPr>
        <w:t xml:space="preserve">; </w:t>
      </w:r>
      <w:r w:rsidRPr="00081B81">
        <w:rPr>
          <w:rFonts w:ascii="Calibri" w:hAnsi="Calibri" w:cs="Calibri"/>
          <w:b/>
          <w:bCs/>
          <w:sz w:val="20"/>
          <w:szCs w:val="20"/>
        </w:rPr>
        <w:t>open to</w:t>
      </w:r>
      <w:r w:rsidRPr="00081B81">
        <w:rPr>
          <w:rFonts w:ascii="Calibri" w:hAnsi="Calibri" w:cs="Calibri"/>
          <w:sz w:val="20"/>
          <w:szCs w:val="20"/>
        </w:rPr>
        <w:t xml:space="preserve">: trade only; </w:t>
      </w:r>
      <w:r w:rsidRPr="00081B81">
        <w:rPr>
          <w:rFonts w:ascii="Calibri" w:hAnsi="Calibri" w:cs="Calibri"/>
          <w:b/>
          <w:bCs/>
          <w:sz w:val="20"/>
          <w:szCs w:val="20"/>
        </w:rPr>
        <w:t>website</w:t>
      </w:r>
      <w:r w:rsidRPr="00081B81">
        <w:rPr>
          <w:rFonts w:ascii="Calibri" w:hAnsi="Calibri" w:cs="Calibri"/>
          <w:sz w:val="20"/>
          <w:szCs w:val="20"/>
        </w:rPr>
        <w:t>: </w:t>
      </w:r>
      <w:hyperlink r:id="rId10" w:tooltip="´web" w:history="1">
        <w:r w:rsidRPr="00081B81">
          <w:rPr>
            <w:rStyle w:val="Collegamentoipertestuale"/>
            <w:rFonts w:ascii="Calibri" w:hAnsi="Calibri" w:cs="Calibri"/>
            <w:sz w:val="20"/>
            <w:szCs w:val="20"/>
          </w:rPr>
          <w:t>www.ttgexpo.it</w:t>
        </w:r>
      </w:hyperlink>
      <w:r w:rsidRPr="00081B81">
        <w:rPr>
          <w:rFonts w:ascii="Calibri" w:hAnsi="Calibri" w:cs="Calibri"/>
          <w:sz w:val="20"/>
          <w:szCs w:val="20"/>
        </w:rPr>
        <w:t> </w:t>
      </w:r>
      <w:hyperlink r:id="rId11" w:history="1">
        <w:r w:rsidRPr="00081B81">
          <w:rPr>
            <w:rStyle w:val="Collegamentoipertestuale"/>
            <w:rFonts w:ascii="Calibri" w:hAnsi="Calibri" w:cs="Calibri"/>
            <w:sz w:val="20"/>
            <w:szCs w:val="20"/>
          </w:rPr>
          <w:t>www.inoutexpo.it</w:t>
        </w:r>
      </w:hyperlink>
      <w:r w:rsidRPr="00081B81">
        <w:rPr>
          <w:rFonts w:ascii="Calibri" w:hAnsi="Calibri" w:cs="Calibri"/>
          <w:sz w:val="20"/>
          <w:szCs w:val="20"/>
        </w:rPr>
        <w:t xml:space="preserve">  </w:t>
      </w:r>
    </w:p>
    <w:p w14:paraId="11D78BA5" w14:textId="77777777" w:rsidR="004E5E3A" w:rsidRPr="0049139A" w:rsidRDefault="004E5E3A" w:rsidP="004E5E3A">
      <w:pPr>
        <w:jc w:val="both"/>
        <w:rPr>
          <w:b/>
          <w:bCs/>
          <w:sz w:val="18"/>
          <w:szCs w:val="18"/>
        </w:rPr>
      </w:pPr>
      <w:r w:rsidRPr="0049139A">
        <w:rPr>
          <w:b/>
          <w:bCs/>
          <w:sz w:val="18"/>
          <w:szCs w:val="18"/>
        </w:rPr>
        <w:t>PRESS CONTACT IEG, TTG TRAVEL EXPERIENCE</w:t>
      </w:r>
    </w:p>
    <w:p w14:paraId="1514FACE" w14:textId="77777777" w:rsidR="004E5E3A" w:rsidRPr="000E7E62" w:rsidRDefault="004E5E3A" w:rsidP="004E5E3A">
      <w:pPr>
        <w:jc w:val="both"/>
        <w:rPr>
          <w:sz w:val="18"/>
          <w:szCs w:val="18"/>
          <w:lang w:val="it-IT"/>
        </w:rPr>
      </w:pPr>
      <w:r w:rsidRPr="000E7E62">
        <w:rPr>
          <w:sz w:val="18"/>
          <w:szCs w:val="18"/>
          <w:lang w:val="it-IT"/>
        </w:rPr>
        <w:t>Elisabetta Vitali, head of corporate communication &amp; media relation; Marco Forcellini, Pier Francesco Bellini, press office manager</w:t>
      </w:r>
    </w:p>
    <w:p w14:paraId="057196E6" w14:textId="12D3B795" w:rsidR="004E5E3A" w:rsidRPr="0049139A" w:rsidRDefault="004E5E3A" w:rsidP="004E5E3A">
      <w:pPr>
        <w:jc w:val="both"/>
        <w:rPr>
          <w:sz w:val="18"/>
          <w:szCs w:val="18"/>
          <w:u w:val="single"/>
        </w:rPr>
      </w:pPr>
      <w:hyperlink r:id="rId12" w:history="1">
        <w:r w:rsidRPr="0049139A">
          <w:rPr>
            <w:rStyle w:val="Collegamentoipertestuale"/>
            <w:sz w:val="18"/>
            <w:szCs w:val="18"/>
          </w:rPr>
          <w:t>media@iegexpo.it</w:t>
        </w:r>
      </w:hyperlink>
    </w:p>
    <w:p w14:paraId="71B6989E" w14:textId="77777777" w:rsidR="004E5E3A" w:rsidRPr="0049139A" w:rsidRDefault="004E5E3A" w:rsidP="004E5E3A">
      <w:pPr>
        <w:jc w:val="both"/>
        <w:rPr>
          <w:sz w:val="18"/>
          <w:szCs w:val="18"/>
          <w:u w:val="single"/>
        </w:rPr>
      </w:pPr>
      <w:r w:rsidRPr="0049139A">
        <w:rPr>
          <w:b/>
          <w:bCs/>
          <w:sz w:val="18"/>
          <w:szCs w:val="18"/>
        </w:rPr>
        <w:t>MEDIA AGENCY TTG TRAVEL EXPERIENCE</w:t>
      </w:r>
    </w:p>
    <w:p w14:paraId="67C5962C" w14:textId="191287A1" w:rsidR="004E5E3A" w:rsidRPr="0049139A" w:rsidRDefault="004E5E3A" w:rsidP="004E5E3A">
      <w:pPr>
        <w:jc w:val="both"/>
        <w:rPr>
          <w:sz w:val="18"/>
          <w:szCs w:val="18"/>
          <w:u w:val="single"/>
        </w:rPr>
      </w:pPr>
      <w:r w:rsidRPr="000E7E62">
        <w:rPr>
          <w:sz w:val="18"/>
          <w:szCs w:val="18"/>
          <w:lang w:val="it-IT"/>
        </w:rPr>
        <w:t xml:space="preserve">Martina Vacca: </w:t>
      </w:r>
      <w:hyperlink r:id="rId13" w:history="1">
        <w:r w:rsidRPr="000E7E62">
          <w:rPr>
            <w:rStyle w:val="Collegamentoipertestuale"/>
            <w:sz w:val="18"/>
            <w:szCs w:val="18"/>
            <w:lang w:val="it-IT"/>
          </w:rPr>
          <w:t>martina@mindthepop.it</w:t>
        </w:r>
      </w:hyperlink>
      <w:r w:rsidRPr="000E7E62">
        <w:rPr>
          <w:sz w:val="18"/>
          <w:szCs w:val="18"/>
          <w:lang w:val="it-IT"/>
        </w:rPr>
        <w:t xml:space="preserve">, mob. +39 339 748 </w:t>
      </w:r>
      <w:r w:rsidR="00790F19" w:rsidRPr="000E7E62">
        <w:rPr>
          <w:sz w:val="18"/>
          <w:szCs w:val="18"/>
          <w:lang w:val="it-IT"/>
        </w:rPr>
        <w:t>5</w:t>
      </w:r>
      <w:r w:rsidRPr="000E7E62">
        <w:rPr>
          <w:sz w:val="18"/>
          <w:szCs w:val="18"/>
          <w:lang w:val="it-IT"/>
        </w:rPr>
        <w:t xml:space="preserve">994; Fabrizio Raimondi: </w:t>
      </w:r>
      <w:hyperlink r:id="rId14" w:history="1">
        <w:r w:rsidRPr="000E7E62">
          <w:rPr>
            <w:rStyle w:val="Collegamentoipertestuale"/>
            <w:sz w:val="18"/>
            <w:szCs w:val="18"/>
            <w:lang w:val="it-IT"/>
          </w:rPr>
          <w:t>fabrizio@mindthepop.it</w:t>
        </w:r>
      </w:hyperlink>
      <w:r w:rsidRPr="000E7E62">
        <w:rPr>
          <w:sz w:val="18"/>
          <w:szCs w:val="18"/>
          <w:lang w:val="it-IT"/>
        </w:rPr>
        <w:t xml:space="preserve">, mob. +39 335 389 848; Benedetto Colli: </w:t>
      </w:r>
      <w:hyperlink r:id="rId15" w:history="1">
        <w:r w:rsidRPr="000E7E62">
          <w:rPr>
            <w:rStyle w:val="Collegamentoipertestuale"/>
            <w:sz w:val="18"/>
            <w:szCs w:val="18"/>
            <w:lang w:val="it-IT"/>
          </w:rPr>
          <w:t>benedetto@mindthepop.it</w:t>
        </w:r>
      </w:hyperlink>
      <w:r w:rsidRPr="000E7E62">
        <w:rPr>
          <w:sz w:val="18"/>
          <w:szCs w:val="18"/>
          <w:lang w:val="it-IT"/>
        </w:rPr>
        <w:t xml:space="preserve">, mob. 380 371 2272; Stefano Chiossi: </w:t>
      </w:r>
      <w:hyperlink r:id="rId16" w:history="1">
        <w:r w:rsidRPr="000E7E62">
          <w:rPr>
            <w:rStyle w:val="Collegamentoipertestuale"/>
            <w:sz w:val="18"/>
            <w:szCs w:val="18"/>
            <w:lang w:val="it-IT"/>
          </w:rPr>
          <w:t>stefano@mindthepop.it</w:t>
        </w:r>
      </w:hyperlink>
      <w:r w:rsidRPr="000E7E62">
        <w:rPr>
          <w:sz w:val="18"/>
          <w:szCs w:val="18"/>
          <w:lang w:val="it-IT"/>
        </w:rPr>
        <w:t xml:space="preserve">, mob. </w:t>
      </w:r>
      <w:r w:rsidRPr="0049139A">
        <w:rPr>
          <w:sz w:val="18"/>
          <w:szCs w:val="18"/>
        </w:rPr>
        <w:t>+ 39 388 739 4358.</w:t>
      </w:r>
    </w:p>
    <w:p w14:paraId="221F0C39" w14:textId="6863F10D" w:rsidR="004E5E3A" w:rsidRDefault="004E5E3A" w:rsidP="004E5E3A">
      <w:pPr>
        <w:jc w:val="both"/>
      </w:pPr>
    </w:p>
    <w:p w14:paraId="69EA7672" w14:textId="77777777" w:rsidR="000E7E62" w:rsidRPr="009E7258" w:rsidRDefault="000E7E62" w:rsidP="000E7E62">
      <w:pPr>
        <w:jc w:val="both"/>
      </w:pPr>
    </w:p>
    <w:p w14:paraId="62CED32C" w14:textId="77777777" w:rsidR="000E7E62" w:rsidRPr="009E7258" w:rsidRDefault="000E7E62" w:rsidP="000E7E62">
      <w:pPr>
        <w:jc w:val="both"/>
      </w:pPr>
      <w:r w:rsidRPr="009E7258">
        <w:rPr>
          <w:noProof/>
        </w:rPr>
        <w:lastRenderedPageBreak/>
        <w:drawing>
          <wp:inline distT="0" distB="0" distL="0" distR="0" wp14:anchorId="5022C252" wp14:editId="6085AC2A">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33883513" w14:textId="77777777" w:rsidR="000E7E62" w:rsidRPr="009E7258" w:rsidRDefault="000E7E62" w:rsidP="000E7E62">
      <w:pPr>
        <w:jc w:val="both"/>
      </w:pPr>
    </w:p>
    <w:p w14:paraId="0B68D792" w14:textId="77777777" w:rsidR="000E7E62" w:rsidRPr="009E7258" w:rsidRDefault="000E7E62" w:rsidP="000E7E62">
      <w:pPr>
        <w:spacing w:after="0" w:line="240" w:lineRule="auto"/>
        <w:jc w:val="both"/>
        <w:rPr>
          <w:sz w:val="16"/>
          <w:szCs w:val="16"/>
        </w:rPr>
      </w:pPr>
      <w:r w:rsidRPr="009E7258">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9E7258">
        <w:rPr>
          <w:rFonts w:cs="Calibri"/>
          <w:sz w:val="16"/>
          <w:szCs w:val="16"/>
        </w:rPr>
        <w:t>complete, and</w:t>
      </w:r>
      <w:proofErr w:type="gramEnd"/>
      <w:r w:rsidRPr="009E7258">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02509ED8" w14:textId="77777777" w:rsidR="000E7E62" w:rsidRPr="0049139A" w:rsidRDefault="000E7E62" w:rsidP="004E5E3A">
      <w:pPr>
        <w:jc w:val="both"/>
      </w:pPr>
    </w:p>
    <w:sectPr w:rsidR="000E7E62" w:rsidRPr="0049139A">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2EC0" w14:textId="77777777" w:rsidR="00F518AF" w:rsidRDefault="00F518AF" w:rsidP="00D32287">
      <w:pPr>
        <w:spacing w:after="0" w:line="240" w:lineRule="auto"/>
      </w:pPr>
      <w:r>
        <w:separator/>
      </w:r>
    </w:p>
  </w:endnote>
  <w:endnote w:type="continuationSeparator" w:id="0">
    <w:p w14:paraId="0A04DB4A" w14:textId="77777777" w:rsidR="00F518AF" w:rsidRDefault="00F518AF"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4B7E" w14:textId="77777777" w:rsidR="00F518AF" w:rsidRDefault="00F518AF" w:rsidP="00D32287">
      <w:pPr>
        <w:spacing w:after="0" w:line="240" w:lineRule="auto"/>
      </w:pPr>
      <w:r>
        <w:separator/>
      </w:r>
    </w:p>
  </w:footnote>
  <w:footnote w:type="continuationSeparator" w:id="0">
    <w:p w14:paraId="228F66D4" w14:textId="77777777" w:rsidR="00F518AF" w:rsidRDefault="00F518AF"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2"/>
  </w:num>
  <w:num w:numId="4" w16cid:durableId="16497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EF8"/>
    <w:rsid w:val="00015F3D"/>
    <w:rsid w:val="000166AE"/>
    <w:rsid w:val="00023EDB"/>
    <w:rsid w:val="00027D8E"/>
    <w:rsid w:val="00030C98"/>
    <w:rsid w:val="00043210"/>
    <w:rsid w:val="0004795F"/>
    <w:rsid w:val="000506EF"/>
    <w:rsid w:val="00050F5C"/>
    <w:rsid w:val="00054950"/>
    <w:rsid w:val="00070BC8"/>
    <w:rsid w:val="00085BF7"/>
    <w:rsid w:val="00091370"/>
    <w:rsid w:val="00093DC3"/>
    <w:rsid w:val="000963C1"/>
    <w:rsid w:val="000A0D30"/>
    <w:rsid w:val="000B38AD"/>
    <w:rsid w:val="000B627E"/>
    <w:rsid w:val="000C23A1"/>
    <w:rsid w:val="000D1ACF"/>
    <w:rsid w:val="000D3FEE"/>
    <w:rsid w:val="000D5718"/>
    <w:rsid w:val="000E39AB"/>
    <w:rsid w:val="000E7E62"/>
    <w:rsid w:val="000F5DB2"/>
    <w:rsid w:val="001148C5"/>
    <w:rsid w:val="00135538"/>
    <w:rsid w:val="001364CD"/>
    <w:rsid w:val="00142B6F"/>
    <w:rsid w:val="00142CFD"/>
    <w:rsid w:val="001437E7"/>
    <w:rsid w:val="00160C3C"/>
    <w:rsid w:val="00166E89"/>
    <w:rsid w:val="00170D23"/>
    <w:rsid w:val="0017179E"/>
    <w:rsid w:val="00175571"/>
    <w:rsid w:val="00197995"/>
    <w:rsid w:val="001A17C5"/>
    <w:rsid w:val="001A2FD7"/>
    <w:rsid w:val="001B58C1"/>
    <w:rsid w:val="001C08E8"/>
    <w:rsid w:val="001C0946"/>
    <w:rsid w:val="001F0D2E"/>
    <w:rsid w:val="001F4BFE"/>
    <w:rsid w:val="001F5C1E"/>
    <w:rsid w:val="001F7B72"/>
    <w:rsid w:val="00200379"/>
    <w:rsid w:val="00211A24"/>
    <w:rsid w:val="00246F00"/>
    <w:rsid w:val="00254923"/>
    <w:rsid w:val="00263C53"/>
    <w:rsid w:val="002758B6"/>
    <w:rsid w:val="00285785"/>
    <w:rsid w:val="00287889"/>
    <w:rsid w:val="00290D02"/>
    <w:rsid w:val="00294AE9"/>
    <w:rsid w:val="002A49E4"/>
    <w:rsid w:val="002B2AF0"/>
    <w:rsid w:val="002D22C9"/>
    <w:rsid w:val="002F48B6"/>
    <w:rsid w:val="00300EA7"/>
    <w:rsid w:val="00314CAB"/>
    <w:rsid w:val="003356D7"/>
    <w:rsid w:val="003413DB"/>
    <w:rsid w:val="0034253A"/>
    <w:rsid w:val="00344E96"/>
    <w:rsid w:val="003454C7"/>
    <w:rsid w:val="00347500"/>
    <w:rsid w:val="003503C5"/>
    <w:rsid w:val="00350E30"/>
    <w:rsid w:val="00351D6A"/>
    <w:rsid w:val="0035210C"/>
    <w:rsid w:val="0035328E"/>
    <w:rsid w:val="00354D63"/>
    <w:rsid w:val="00363AB4"/>
    <w:rsid w:val="00364189"/>
    <w:rsid w:val="00384359"/>
    <w:rsid w:val="003851EE"/>
    <w:rsid w:val="00390CE6"/>
    <w:rsid w:val="0039451C"/>
    <w:rsid w:val="00395EDC"/>
    <w:rsid w:val="003B6821"/>
    <w:rsid w:val="003C0B92"/>
    <w:rsid w:val="003C1E5C"/>
    <w:rsid w:val="003C3F73"/>
    <w:rsid w:val="003C4B4D"/>
    <w:rsid w:val="003C7D2C"/>
    <w:rsid w:val="003D3C7B"/>
    <w:rsid w:val="003D54B6"/>
    <w:rsid w:val="003E1951"/>
    <w:rsid w:val="003E2E20"/>
    <w:rsid w:val="003F248A"/>
    <w:rsid w:val="003F41A0"/>
    <w:rsid w:val="00412389"/>
    <w:rsid w:val="004316C5"/>
    <w:rsid w:val="0043315B"/>
    <w:rsid w:val="0043469B"/>
    <w:rsid w:val="00435256"/>
    <w:rsid w:val="004443C3"/>
    <w:rsid w:val="00451C25"/>
    <w:rsid w:val="0046365D"/>
    <w:rsid w:val="00465D7C"/>
    <w:rsid w:val="00465F95"/>
    <w:rsid w:val="00482E6A"/>
    <w:rsid w:val="0049139A"/>
    <w:rsid w:val="0049494C"/>
    <w:rsid w:val="004949D4"/>
    <w:rsid w:val="004A1A67"/>
    <w:rsid w:val="004A3E17"/>
    <w:rsid w:val="004B63EE"/>
    <w:rsid w:val="004E5AD0"/>
    <w:rsid w:val="004E5E3A"/>
    <w:rsid w:val="004F6310"/>
    <w:rsid w:val="004F7AF4"/>
    <w:rsid w:val="004F7DC8"/>
    <w:rsid w:val="00507928"/>
    <w:rsid w:val="00514961"/>
    <w:rsid w:val="00516DD9"/>
    <w:rsid w:val="005234F8"/>
    <w:rsid w:val="00524B3D"/>
    <w:rsid w:val="005313B9"/>
    <w:rsid w:val="00542E2E"/>
    <w:rsid w:val="005516B0"/>
    <w:rsid w:val="00557E6F"/>
    <w:rsid w:val="005642F8"/>
    <w:rsid w:val="0057135D"/>
    <w:rsid w:val="00572508"/>
    <w:rsid w:val="00585975"/>
    <w:rsid w:val="00587269"/>
    <w:rsid w:val="0059095E"/>
    <w:rsid w:val="00591E46"/>
    <w:rsid w:val="005A3445"/>
    <w:rsid w:val="005A5646"/>
    <w:rsid w:val="005A7FBB"/>
    <w:rsid w:val="005B36CA"/>
    <w:rsid w:val="005B5FA5"/>
    <w:rsid w:val="005D3EFB"/>
    <w:rsid w:val="005D5165"/>
    <w:rsid w:val="005E44B5"/>
    <w:rsid w:val="006203E0"/>
    <w:rsid w:val="006327D7"/>
    <w:rsid w:val="00644341"/>
    <w:rsid w:val="00657C90"/>
    <w:rsid w:val="00670424"/>
    <w:rsid w:val="00675E96"/>
    <w:rsid w:val="00676BB6"/>
    <w:rsid w:val="00682E1A"/>
    <w:rsid w:val="006907E9"/>
    <w:rsid w:val="00695B5D"/>
    <w:rsid w:val="006A0FA9"/>
    <w:rsid w:val="006A25CC"/>
    <w:rsid w:val="006A3CEB"/>
    <w:rsid w:val="006A5158"/>
    <w:rsid w:val="006A6040"/>
    <w:rsid w:val="006B0797"/>
    <w:rsid w:val="006B5475"/>
    <w:rsid w:val="006C5B6F"/>
    <w:rsid w:val="006D1765"/>
    <w:rsid w:val="006D3EC4"/>
    <w:rsid w:val="006D4A37"/>
    <w:rsid w:val="006F5292"/>
    <w:rsid w:val="006F75C9"/>
    <w:rsid w:val="00727B00"/>
    <w:rsid w:val="00753ED5"/>
    <w:rsid w:val="00757AFF"/>
    <w:rsid w:val="00774381"/>
    <w:rsid w:val="00777512"/>
    <w:rsid w:val="007808CD"/>
    <w:rsid w:val="00780CE7"/>
    <w:rsid w:val="00790F19"/>
    <w:rsid w:val="00793019"/>
    <w:rsid w:val="00793A03"/>
    <w:rsid w:val="007C539A"/>
    <w:rsid w:val="007C7844"/>
    <w:rsid w:val="007D2954"/>
    <w:rsid w:val="00802AE9"/>
    <w:rsid w:val="00814F93"/>
    <w:rsid w:val="00815807"/>
    <w:rsid w:val="00817768"/>
    <w:rsid w:val="00826EFB"/>
    <w:rsid w:val="00826F2F"/>
    <w:rsid w:val="008351CB"/>
    <w:rsid w:val="00837F04"/>
    <w:rsid w:val="00845B2D"/>
    <w:rsid w:val="008573FC"/>
    <w:rsid w:val="00861C00"/>
    <w:rsid w:val="00865A6C"/>
    <w:rsid w:val="008718F5"/>
    <w:rsid w:val="008767B2"/>
    <w:rsid w:val="00877232"/>
    <w:rsid w:val="008841BF"/>
    <w:rsid w:val="00884B02"/>
    <w:rsid w:val="0088617B"/>
    <w:rsid w:val="00897683"/>
    <w:rsid w:val="008A294D"/>
    <w:rsid w:val="008B5143"/>
    <w:rsid w:val="008C137D"/>
    <w:rsid w:val="008E4058"/>
    <w:rsid w:val="008E5DC1"/>
    <w:rsid w:val="008F6C7A"/>
    <w:rsid w:val="0092684E"/>
    <w:rsid w:val="0092771F"/>
    <w:rsid w:val="00936E39"/>
    <w:rsid w:val="0096405A"/>
    <w:rsid w:val="00971066"/>
    <w:rsid w:val="00981081"/>
    <w:rsid w:val="00981E5D"/>
    <w:rsid w:val="00983262"/>
    <w:rsid w:val="00983307"/>
    <w:rsid w:val="00993731"/>
    <w:rsid w:val="009C1D77"/>
    <w:rsid w:val="009C6616"/>
    <w:rsid w:val="009D7613"/>
    <w:rsid w:val="009E5284"/>
    <w:rsid w:val="009F0AE2"/>
    <w:rsid w:val="009F6A63"/>
    <w:rsid w:val="00A177F5"/>
    <w:rsid w:val="00A24873"/>
    <w:rsid w:val="00A24AEC"/>
    <w:rsid w:val="00A25005"/>
    <w:rsid w:val="00A33A8F"/>
    <w:rsid w:val="00A34FB0"/>
    <w:rsid w:val="00A43DF2"/>
    <w:rsid w:val="00A53692"/>
    <w:rsid w:val="00A65654"/>
    <w:rsid w:val="00A66FF7"/>
    <w:rsid w:val="00A87394"/>
    <w:rsid w:val="00A9107B"/>
    <w:rsid w:val="00A91C8B"/>
    <w:rsid w:val="00A93A00"/>
    <w:rsid w:val="00AB0C12"/>
    <w:rsid w:val="00AB639B"/>
    <w:rsid w:val="00AE01AA"/>
    <w:rsid w:val="00AE36E9"/>
    <w:rsid w:val="00AE4D68"/>
    <w:rsid w:val="00AE69D2"/>
    <w:rsid w:val="00AF4DF7"/>
    <w:rsid w:val="00AF7995"/>
    <w:rsid w:val="00AF7DB9"/>
    <w:rsid w:val="00B056CC"/>
    <w:rsid w:val="00B144D4"/>
    <w:rsid w:val="00B22342"/>
    <w:rsid w:val="00B313A5"/>
    <w:rsid w:val="00B32D81"/>
    <w:rsid w:val="00B36189"/>
    <w:rsid w:val="00B41C37"/>
    <w:rsid w:val="00B51DB1"/>
    <w:rsid w:val="00B5295A"/>
    <w:rsid w:val="00B54D17"/>
    <w:rsid w:val="00B576A4"/>
    <w:rsid w:val="00B618F4"/>
    <w:rsid w:val="00B6347F"/>
    <w:rsid w:val="00B67EB6"/>
    <w:rsid w:val="00B72E47"/>
    <w:rsid w:val="00B84968"/>
    <w:rsid w:val="00B87CB0"/>
    <w:rsid w:val="00BA14AE"/>
    <w:rsid w:val="00BC34A7"/>
    <w:rsid w:val="00BC42AB"/>
    <w:rsid w:val="00BE3959"/>
    <w:rsid w:val="00BE4CA8"/>
    <w:rsid w:val="00BE7216"/>
    <w:rsid w:val="00BF2420"/>
    <w:rsid w:val="00BF255F"/>
    <w:rsid w:val="00C03526"/>
    <w:rsid w:val="00C05C77"/>
    <w:rsid w:val="00C12011"/>
    <w:rsid w:val="00C1739A"/>
    <w:rsid w:val="00C463BF"/>
    <w:rsid w:val="00C46598"/>
    <w:rsid w:val="00C73E22"/>
    <w:rsid w:val="00C73F15"/>
    <w:rsid w:val="00C75FAB"/>
    <w:rsid w:val="00C845CF"/>
    <w:rsid w:val="00CA0C02"/>
    <w:rsid w:val="00CA7427"/>
    <w:rsid w:val="00CC3B27"/>
    <w:rsid w:val="00CC745C"/>
    <w:rsid w:val="00CD394C"/>
    <w:rsid w:val="00CE084A"/>
    <w:rsid w:val="00CE58E1"/>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86C8E"/>
    <w:rsid w:val="00D955D5"/>
    <w:rsid w:val="00D96228"/>
    <w:rsid w:val="00DA5B22"/>
    <w:rsid w:val="00DB6B98"/>
    <w:rsid w:val="00DC147E"/>
    <w:rsid w:val="00DD15DF"/>
    <w:rsid w:val="00DE02F1"/>
    <w:rsid w:val="00DE11F5"/>
    <w:rsid w:val="00DE1D65"/>
    <w:rsid w:val="00DF11AA"/>
    <w:rsid w:val="00DF3CE9"/>
    <w:rsid w:val="00E00FA8"/>
    <w:rsid w:val="00E042C2"/>
    <w:rsid w:val="00E14BB6"/>
    <w:rsid w:val="00E17A3C"/>
    <w:rsid w:val="00E26884"/>
    <w:rsid w:val="00E36D3B"/>
    <w:rsid w:val="00E403F9"/>
    <w:rsid w:val="00E41EF0"/>
    <w:rsid w:val="00E51A0C"/>
    <w:rsid w:val="00E55DF4"/>
    <w:rsid w:val="00E5784E"/>
    <w:rsid w:val="00E81067"/>
    <w:rsid w:val="00EA3225"/>
    <w:rsid w:val="00EE3F90"/>
    <w:rsid w:val="00EF6C86"/>
    <w:rsid w:val="00F05004"/>
    <w:rsid w:val="00F16AF3"/>
    <w:rsid w:val="00F256F9"/>
    <w:rsid w:val="00F25AB9"/>
    <w:rsid w:val="00F3063C"/>
    <w:rsid w:val="00F518AF"/>
    <w:rsid w:val="00F77900"/>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character" w:styleId="Enfasigrassetto">
    <w:name w:val="Strong"/>
    <w:uiPriority w:val="22"/>
    <w:qFormat/>
    <w:rsid w:val="00BE7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ut.it" TargetMode="External"/><Relationship Id="rId13" Type="http://schemas.openxmlformats.org/officeDocument/2006/relationships/hyperlink" Target="mailto:martina@mindthepop.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stefano@mindthepop.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outexpo.it" TargetMode="External"/><Relationship Id="rId5" Type="http://schemas.openxmlformats.org/officeDocument/2006/relationships/footnotes" Target="footnotes.xml"/><Relationship Id="rId15" Type="http://schemas.openxmlformats.org/officeDocument/2006/relationships/hyperlink" Target="mailto:benedetto@mindthepop.it" TargetMode="External"/><Relationship Id="rId10" Type="http://schemas.openxmlformats.org/officeDocument/2006/relationships/hyperlink" Target="http://srvcww.dominio-fiera.local/gestionecww/template/%C2%B4http:/www.ttgexpo.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659</Words>
  <Characters>3758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6</cp:revision>
  <cp:lastPrinted>2025-04-28T07:29:00Z</cp:lastPrinted>
  <dcterms:created xsi:type="dcterms:W3CDTF">2025-10-02T08:55:00Z</dcterms:created>
  <dcterms:modified xsi:type="dcterms:W3CDTF">2025-10-09T08:57:00Z</dcterms:modified>
</cp:coreProperties>
</file>